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DAMAGE MODELING · WORKED REFERENCE</w:t>
      </w:r>
    </w:p>
    <w:p>
      <w:pPr>
        <w:spacing w:after="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8"/>
          <w:szCs w:val="38"/>
        </w:rPr>
        <w:t xml:space="preserve">Flood × Solar — building the curve, step by step</w:t>
      </w:r>
    </w:p>
    <w:p>
      <w:pPr>
        <w:spacing w:after="150" w:before="0" w:line="276" w:lineRule="auto"/>
      </w:pPr>
      <w:r>
        <w:rPr>
          <w:rFonts w:ascii="Montserrat" w:cs="Montserrat" w:eastAsia="Montserrat" w:hAnsi="Montserrat"/>
          <w:b w:val="false"/>
          <w:bCs w:val="false"/>
          <w:i/>
          <w:iCs/>
          <w:color w:val="16324F"/>
          <w:sz w:val="22"/>
          <w:szCs w:val="22"/>
        </w:rPr>
        <w:t xml:space="preserve">How the flood × solar damage curves are built across the seven stages: what we do at each stage, why, and the evidence behind every decision — with sources and links. This is the multi-failure-unit companion to the hail × solar reference; where a decision differs from hail, the reason is called out.</w:t>
      </w:r>
    </w:p>
    <w:p>
      <w:pPr>
        <w:spacing w:after="40" w:before="0" w:line="264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Cell: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733"/>
          <w:sz w:val="20"/>
          <w:szCs w:val="20"/>
        </w:rPr>
        <w:t xml:space="preserve">flood_solar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      Damage code: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733"/>
          <w:sz w:val="18"/>
          <w:szCs w:val="18"/>
        </w:rPr>
        <w:t xml:space="preserve">FLOOD_SOLAR_ELECTRICAL_INUNDATION_V1</w:t>
      </w:r>
    </w:p>
    <w:p>
      <w:pPr>
        <w:spacing w:after="40" w:before="0" w:line="264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Design: 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multi-failure-unit (inverter · switchgear · transformer · combiner/DC · SCADA · cable · foundation · module).</w:t>
      </w:r>
    </w:p>
    <w:p>
      <w:pPr>
        <w:spacing w:after="100" w:before="0" w:line="264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Status: 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public-source-derived v1.0 piecewise/state depth-damage package — not private-claims-calibrated.</w:t>
      </w:r>
    </w:p>
    <w:p>
      <w:pPr>
        <w:shd w:fill="EAF5F6" w:val="clear"/>
        <w:spacing w:after="0" w:before="40" w:line="250" w:lineRule="auto"/>
        <w:ind w:left="130" w:right="13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22"/>
          <w:szCs w:val="22"/>
        </w:rPr>
        <w:t xml:space="preserve">Where to find more</w:t>
      </w:r>
    </w:p>
    <w:p>
      <w:pPr>
        <w:shd w:fill="EAF5F6" w:val="clear"/>
        <w:spacing w:after="0" w:line="250" w:lineRule="auto"/>
        <w:ind w:left="130" w:right="13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19"/>
          <w:szCs w:val="19"/>
        </w:rPr>
        <w:t xml:space="preserve">GitHub repo:  </w:t>
      </w:r>
      <w:hyperlink w:history="1" r:id="rIdyrsw7-yiu8yvjcxtwp_5i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aamani-ai/Damage_Modeling</w:t>
        </w:r>
      </w:hyperlink>
    </w:p>
    <w:p>
      <w:pPr>
        <w:shd w:fill="EAF5F6" w:val="clear"/>
        <w:spacing w:after="0" w:line="250" w:lineRule="auto"/>
        <w:ind w:left="130" w:right="13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19"/>
          <w:szCs w:val="19"/>
        </w:rPr>
        <w:t xml:space="preserve">Derivation dossier:  </w:t>
      </w:r>
      <w:hyperlink w:history="1" r:id="rIdnm_14vh1bet8lz6nvxvp-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flood_solar_curve_derivation_dossier_v1_0.md</w:t>
        </w:r>
      </w:hyperlink>
    </w:p>
    <w:p>
      <w:pPr>
        <w:shd w:fill="EAF5F6" w:val="clear"/>
        <w:spacing w:after="0" w:line="250" w:lineRule="auto"/>
        <w:ind w:left="130" w:right="13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19"/>
          <w:szCs w:val="19"/>
        </w:rPr>
        <w:t xml:space="preserve">Curation notebook:  </w:t>
      </w:r>
      <w:hyperlink w:history="1" r:id="rIdp6vighqakp2bxrvrkjn29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notebooks/flood/solar/00_curve_curation_walkthrough.ipynb</w:t>
        </w:r>
      </w:hyperlink>
    </w:p>
    <w:p>
      <w:pPr>
        <w:shd w:fill="EAF5F6" w:val="clear"/>
        <w:spacing w:after="0" w:line="250" w:lineRule="auto"/>
        <w:ind w:left="130" w:right="13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19"/>
          <w:szCs w:val="19"/>
        </w:rPr>
        <w:t xml:space="preserve">Runtime artifact:  </w:t>
      </w:r>
      <w:hyperlink w:history="1" r:id="rIduw37ww0xnptathojblreh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flood_solar__model_v1_0__docs_r3__curve_artifact.json</w:t>
        </w:r>
      </w:hyperlink>
    </w:p>
    <w:p>
      <w:pPr>
        <w:shd w:fill="EAF5F6" w:val="clear"/>
        <w:spacing w:after="60" w:line="250" w:lineRule="auto"/>
        <w:ind w:left="130" w:right="13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19"/>
          <w:szCs w:val="19"/>
        </w:rPr>
        <w:t xml:space="preserve">Slide deck:  </w:t>
      </w:r>
      <w:hyperlink w:history="1" r:id="rIdiowkeslv1vu1hgtoydcz2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Damage Modeling — From the Basics (Google Slides)</w:t>
        </w:r>
      </w:hyperlink>
    </w:p>
    <w:p>
      <w:pPr>
        <w:spacing w:after="8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/>
      </w:r>
    </w:p>
    <w:p>
      <w:pPr>
        <w:pStyle w:val="Heading1"/>
        <w:spacing w:after="60" w:before="3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STAGE 0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0"/>
          <w:szCs w:val="30"/>
        </w:rPr>
        <w:t xml:space="preserve">The modeling question</w:t>
      </w:r>
    </w:p>
    <w:p>
      <w:pPr>
        <w:spacing w:after="130" w:line="252" w:lineRule="auto"/>
      </w:pPr>
      <w:r>
        <w:rPr>
          <w:rFonts w:ascii="Montserrat" w:cs="Montserrat" w:eastAsia="Montserrat" w:hAnsi="Montserrat"/>
          <w:b/>
          <w:bCs/>
          <w:i/>
          <w:iCs/>
          <w:color w:val="0E7079"/>
          <w:sz w:val="20"/>
          <w:szCs w:val="20"/>
        </w:rPr>
        <w:t xml:space="preserve">Decisive question:  </w:t>
      </w:r>
      <w:r>
        <w:rPr>
          <w:rFonts w:ascii="Montserrat" w:cs="Montserrat" w:eastAsia="Montserrat" w:hAnsi="Montserrat"/>
          <w:b w:val="false"/>
          <w:bCs w:val="false"/>
          <w:i/>
          <w:iCs/>
          <w:color w:val="16324F"/>
          <w:sz w:val="21"/>
          <w:szCs w:val="21"/>
        </w:rPr>
        <w:t xml:space="preserve">What are we building a curve for — and why can’t flood be one plant-level number?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Flood is modeled as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multiple failure-units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, not one whole-plant flood-depth curve. Floodwater does not hit one material surface uniformly — it interacts with each piece of equipment’s elevation, enclosure, conduit path and drainage. Two items at the same site flood depth can see very different local exposure.</w:t>
      </w:r>
    </w:p>
    <w:p>
      <w:pPr>
        <w:shd w:fill="F0F5F7" w:val="clear"/>
        <w:spacing w:after="0" w:before="6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NOT:   site flood depth  -&gt;  whole solar plant DR</w:t>
      </w:r>
    </w:p>
    <w:p>
      <w:pPr>
        <w:shd w:fill="F0F5F7" w:val="clear"/>
        <w:spacing w:after="14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YES:   local depth at each component datum  -&gt;  per-failure-unit DR</w:t>
      </w:r>
    </w:p>
    <w:p>
      <w:pPr>
        <w:shd w:fill="F0F5F7" w:val="clear"/>
        <w:spacing w:after="150" w:before="60" w:line="252" w:lineRule="auto"/>
        <w:ind w:left="120" w:right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E7079"/>
          <w:sz w:val="19"/>
          <w:szCs w:val="19"/>
        </w:rPr>
        <w:t xml:space="preserve">Reference: 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internal method — </w:t>
      </w:r>
      <w:hyperlink w:history="1" r:id="rIdtzthdkebqxo-6zii0-ori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03 · failure-unit coverage standard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; solar-specific pathways — </w:t>
      </w:r>
      <w:hyperlink w:history="1" r:id="rIdywwxdp7734sln-83ow7yh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DOE/FEMP PV flood guidance</w:t>
        </w:r>
      </w:hyperlink>
    </w:p>
    <w:p>
      <w:pPr>
        <w:pStyle w:val="Heading1"/>
        <w:spacing w:after="60" w:before="3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STAGE 1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0"/>
          <w:szCs w:val="30"/>
        </w:rPr>
        <w:t xml:space="preserve">Evidence</w:t>
      </w:r>
    </w:p>
    <w:p>
      <w:pPr>
        <w:spacing w:after="130" w:line="252" w:lineRule="auto"/>
      </w:pPr>
      <w:r>
        <w:rPr>
          <w:rFonts w:ascii="Montserrat" w:cs="Montserrat" w:eastAsia="Montserrat" w:hAnsi="Montserrat"/>
          <w:b/>
          <w:bCs/>
          <w:i/>
          <w:iCs/>
          <w:color w:val="0E7079"/>
          <w:sz w:val="20"/>
          <w:szCs w:val="20"/>
        </w:rPr>
        <w:t xml:space="preserve">Decisive question:  </w:t>
      </w:r>
      <w:r>
        <w:rPr>
          <w:rFonts w:ascii="Montserrat" w:cs="Montserrat" w:eastAsia="Montserrat" w:hAnsi="Montserrat"/>
          <w:b w:val="false"/>
          <w:bCs w:val="false"/>
          <w:i/>
          <w:iCs/>
          <w:color w:val="16324F"/>
          <w:sz w:val="21"/>
          <w:szCs w:val="21"/>
        </w:rPr>
        <w:t xml:space="preserve">What does the curated evidence base authorize, and what does each source explicitly NOT support?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The v1.0 package is built from six external sources plus two internal ones. The discipline (per the evidence standard) is to record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what each source does and does not support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— so no source is stretched past its 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4360"/>
        <w:gridCol w:w="2350"/>
      </w:tblGrid>
      <w:tr>
        <w:trPr>
          <w:tblHeader/>
        </w:trPr>
        <w:tc>
          <w:tcPr>
            <w:tcW w:type="dxa" w:w="2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Supports / does NOT support</w:t>
            </w:r>
          </w:p>
        </w:tc>
        <w:tc>
          <w:tcPr>
            <w:tcW w:type="dxa" w:w="23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ca8mppwdwknv2pbsnjibx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DOE/FEMP PV flood guidance</w:t>
              </w:r>
            </w:hyperlink>
          </w:p>
        </w:tc>
        <w:tc>
          <w:tcPr>
            <w:tcW w:type="dxa" w:w="43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Supports solar pathways (submersion, conduit water paths, raising equipment). Not final numeric depth-damage curves.</w:t>
            </w:r>
          </w:p>
        </w:tc>
        <w:tc>
          <w:tcPr>
            <w:tcW w:type="dxa" w:w="23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mechanisms · T2</w:t>
            </w:r>
          </w:p>
        </w:tc>
      </w:tr>
      <w:tr>
        <w:tc>
          <w:tcPr>
            <w:tcW w:type="dxa" w:w="2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7poi28ptchjf0vpjsqeal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NEMA GD 1 — Evaluating Water-Damaged Electrical Equipment</w:t>
              </w:r>
            </w:hyperlink>
          </w:p>
        </w:tc>
        <w:tc>
          <w:tcPr>
            <w:tcW w:type="dxa" w:w="43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Replacement/reconditioning framing for water-exposed electrical gear. Not continuous flood-depth curves.</w:t>
            </w:r>
          </w:p>
        </w:tc>
        <w:tc>
          <w:tcPr>
            <w:tcW w:type="dxa" w:w="23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electrical loss · T2</w:t>
            </w:r>
          </w:p>
        </w:tc>
      </w:tr>
      <w:tr>
        <w:tc>
          <w:tcPr>
            <w:tcW w:type="dxa" w:w="2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pvy04fifb9pakte2tkri3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NEMA GD 1-2016 (open PDF)</w:t>
              </w:r>
            </w:hyperlink>
          </w:p>
        </w:tc>
        <w:tc>
          <w:tcPr>
            <w:tcW w:type="dxa" w:w="43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Category table: switchgear, breakers, electronics, transformers, cable. Not solar-specific; OEM guidance can supersede.</w:t>
            </w:r>
          </w:p>
        </w:tc>
        <w:tc>
          <w:tcPr>
            <w:tcW w:type="dxa" w:w="23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electrical loss · T2</w:t>
            </w:r>
          </w:p>
        </w:tc>
      </w:tr>
      <w:tr>
        <w:tc>
          <w:tcPr>
            <w:tcW w:type="dxa" w:w="2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qits6dwtseh2rzlwnpunv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NEMA enclosure types</w:t>
              </w:r>
            </w:hyperlink>
          </w:p>
        </w:tc>
        <w:tc>
          <w:tcPr>
            <w:tcW w:type="dxa" w:w="43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Distinguishes rain/hosedown from submersion ratings (Type 6/6P). Rating alone doesn’t set replacement cost.</w:t>
            </w:r>
          </w:p>
        </w:tc>
        <w:tc>
          <w:tcPr>
            <w:tcW w:type="dxa" w:w="23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selector · T2</w:t>
            </w:r>
          </w:p>
        </w:tc>
      </w:tr>
      <w:tr>
        <w:tc>
          <w:tcPr>
            <w:tcW w:type="dxa" w:w="2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a3e7gtw_n8xynqfjdfpt3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FEMA / Building America utility-system flood guide</w:t>
              </w:r>
            </w:hyperlink>
          </w:p>
        </w:tc>
        <w:tc>
          <w:tcPr>
            <w:tcW w:type="dxa" w:w="43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Elevation/protection framing for utility systems. Building-utility context, not bespoke PV curves.</w:t>
            </w:r>
          </w:p>
        </w:tc>
        <w:tc>
          <w:tcPr>
            <w:tcW w:type="dxa" w:w="23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exposure · T3</w:t>
            </w:r>
          </w:p>
        </w:tc>
      </w:tr>
      <w:tr>
        <w:tc>
          <w:tcPr>
            <w:tcW w:type="dxa" w:w="2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7s_w52boewn54fwhu47kx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USACE HEC-FIA depth-percent damage</w:t>
              </w:r>
            </w:hyperlink>
          </w:p>
        </w:tc>
        <w:tc>
          <w:tcPr>
            <w:tcW w:type="dxa" w:w="43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Supports the tabular depth-percent curve FORM and interpolation. Generic method, not solar values.</w:t>
            </w:r>
          </w:p>
        </w:tc>
        <w:tc>
          <w:tcPr>
            <w:tcW w:type="dxa" w:w="23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curve form · T2</w:t>
            </w:r>
          </w:p>
        </w:tc>
      </w:tr>
    </w:tbl>
    <w:p>
      <w:pPr>
        <w:spacing w:after="120" w:before="7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Later evidence co-curation added mechanism support (Ketjoy et al. 2022 module depth-percent; NERC 2022 substation shallow-depth cases; ANZGeo 2023 scour) as validation and future-selector candidates — not as refit v1.0 numbers.</w:t>
      </w:r>
    </w:p>
    <w:p>
      <w:pPr>
        <w:shd w:fill="F0F5F7" w:val="clear"/>
        <w:spacing w:after="150" w:before="60" w:line="252" w:lineRule="auto"/>
        <w:ind w:left="120" w:right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E7079"/>
          <w:sz w:val="19"/>
          <w:szCs w:val="19"/>
        </w:rPr>
        <w:t xml:space="preserve">Reference:  </w:t>
      </w:r>
      <w:hyperlink w:history="1" r:id="rIdhlwtzhtzgad-mhnqd8sct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08 · evidence, provenance &amp; links standard</w:t>
        </w:r>
      </w:hyperlink>
    </w:p>
    <w:p>
      <w:r>
        <w:br w:type="page"/>
      </w:r>
    </w:p>
    <w:p>
      <w:pPr>
        <w:pStyle w:val="Heading1"/>
        <w:spacing w:after="60" w:before="3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STAGE 2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0"/>
          <w:szCs w:val="30"/>
        </w:rPr>
        <w:t xml:space="preserve">Grain</w:t>
      </w:r>
    </w:p>
    <w:p>
      <w:pPr>
        <w:spacing w:after="130" w:line="252" w:lineRule="auto"/>
      </w:pPr>
      <w:r>
        <w:rPr>
          <w:rFonts w:ascii="Montserrat" w:cs="Montserrat" w:eastAsia="Montserrat" w:hAnsi="Montserrat"/>
          <w:b/>
          <w:bCs/>
          <w:i/>
          <w:iCs/>
          <w:color w:val="0E7079"/>
          <w:sz w:val="20"/>
          <w:szCs w:val="20"/>
        </w:rPr>
        <w:t xml:space="preserve">Decisive question:  </w:t>
      </w:r>
      <w:r>
        <w:rPr>
          <w:rFonts w:ascii="Montserrat" w:cs="Montserrat" w:eastAsia="Montserrat" w:hAnsi="Montserrat"/>
          <w:b w:val="false"/>
          <w:bCs w:val="false"/>
          <w:i/>
          <w:iCs/>
          <w:color w:val="16324F"/>
          <w:sz w:val="21"/>
          <w:szCs w:val="21"/>
        </w:rPr>
        <w:t xml:space="preserve">Which failure-units carry curves, and why is the split broader than hail?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2500"/>
        <w:gridCol w:w="3810"/>
      </w:tblGrid>
      <w:tr>
        <w:trPr>
          <w:tblHeader/>
        </w:trP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Failure-unit</w:t>
            </w:r>
          </w:p>
        </w:tc>
        <w:tc>
          <w:tcPr>
            <w:tcW w:type="dxa" w:w="25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v1.0 treatment</w:t>
            </w:r>
          </w:p>
        </w:tc>
        <w:tc>
          <w:tcPr>
            <w:tcW w:type="dxa" w:w="38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2A43"/>
                <w:sz w:val="16"/>
                <w:szCs w:val="16"/>
              </w:rPr>
              <w:t xml:space="preserve">INVERTER · power electronics</w:t>
            </w:r>
          </w:p>
        </w:tc>
        <w:tc>
          <w:tcPr>
            <w:tcW w:type="dxa" w:w="25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primary curve</w:t>
            </w:r>
          </w:p>
        </w:tc>
        <w:tc>
          <w:tcPr>
            <w:tcW w:type="dxa" w:w="38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DOE/FEMP flags inverters as flood-sensitive; NEMA treats electronics as high-loss once wet.</w:t>
            </w:r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2A43"/>
                <w:sz w:val="16"/>
                <w:szCs w:val="16"/>
              </w:rPr>
              <w:t xml:space="preserve">SUBSTATION / SWITCHGEAR</w:t>
            </w:r>
          </w:p>
        </w:tc>
        <w:tc>
          <w:tcPr>
            <w:tcW w:type="dxa" w:w="25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primary curve</w:t>
            </w:r>
          </w:p>
        </w:tc>
        <w:tc>
          <w:tcPr>
            <w:tcW w:type="dxa" w:w="38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NEMA replacement logic → steep curve after ingress; central grid-connection value.</w:t>
            </w:r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2A43"/>
                <w:sz w:val="16"/>
                <w:szCs w:val="16"/>
              </w:rPr>
              <w:t xml:space="preserve">TRANSFORMER / control area</w:t>
            </w:r>
          </w:p>
        </w:tc>
        <w:tc>
          <w:tcPr>
            <w:tcW w:type="dxa" w:w="25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primary, less vertical</w:t>
            </w:r>
          </w:p>
        </w:tc>
        <w:tc>
          <w:tcPr>
            <w:tcW w:type="dxa" w:w="38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Liquid-filled units may allow evaluation/reconditioning, so the curve rises more gradually.</w:t>
            </w:r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2A43"/>
                <w:sz w:val="16"/>
                <w:szCs w:val="16"/>
              </w:rPr>
              <w:t xml:space="preserve">COMBINER / DC protection</w:t>
            </w:r>
          </w:p>
        </w:tc>
        <w:tc>
          <w:tcPr>
            <w:tcW w:type="dxa" w:w="25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primary curve</w:t>
            </w:r>
          </w:p>
        </w:tc>
        <w:tc>
          <w:tcPr>
            <w:tcW w:type="dxa" w:w="38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Small water-sensitive enclosures with surge/protection devices.</w:t>
            </w:r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2A43"/>
                <w:sz w:val="16"/>
                <w:szCs w:val="16"/>
              </w:rPr>
              <w:t xml:space="preserve">SCADA / control cabinet</w:t>
            </w:r>
          </w:p>
        </w:tc>
        <w:tc>
          <w:tcPr>
            <w:tcW w:type="dxa" w:w="25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primary curve</w:t>
            </w:r>
          </w:p>
        </w:tc>
        <w:tc>
          <w:tcPr>
            <w:tcW w:type="dxa" w:w="38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Electronics/comms are high-loss once wet/contaminated.</w:t>
            </w:r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2A43"/>
                <w:sz w:val="16"/>
                <w:szCs w:val="16"/>
              </w:rPr>
              <w:t xml:space="preserve">Collection cable / conduit</w:t>
            </w:r>
          </w:p>
        </w:tc>
        <w:tc>
          <w:tcPr>
            <w:tcW w:type="dxa" w:w="25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secondary</w:t>
            </w:r>
          </w:p>
        </w:tc>
        <w:tc>
          <w:tcPr>
            <w:tcW w:type="dxa" w:w="38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Wet-location cable may survive; terminations/conduit contamination dominate.</w:t>
            </w:r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2A43"/>
                <w:sz w:val="16"/>
                <w:szCs w:val="16"/>
              </w:rPr>
              <w:t xml:space="preserve">PV module submersion</w:t>
            </w:r>
          </w:p>
        </w:tc>
        <w:tc>
          <w:tcPr>
            <w:tcW w:type="dxa" w:w="25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38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Utility modules are usually elevated; material only when water reaches the lower edge.</w:t>
            </w:r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2A43"/>
                <w:sz w:val="16"/>
                <w:szCs w:val="16"/>
              </w:rPr>
              <w:t xml:space="preserve">Foundation / civil scour</w:t>
            </w:r>
          </w:p>
        </w:tc>
        <w:tc>
          <w:tcPr>
            <w:tcW w:type="dxa" w:w="25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separate axis</w:t>
            </w:r>
          </w:p>
        </w:tc>
        <w:tc>
          <w:tcPr>
            <w:tcW w:type="dxa" w:w="38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Different mechanism (velocity/erosion), not cabinet ingress — carried as a proxy.</w:t>
            </w:r>
          </w:p>
        </w:tc>
      </w:tr>
    </w:tbl>
    <w:p>
      <w:pPr>
        <w:spacing w:after="120" w:before="7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Everything above the waterline with no alternate ingress path is kept as an explicit DR ≈ 0 record — reviewed, not forgotten.</w:t>
      </w:r>
    </w:p>
    <w:p>
      <w:pPr>
        <w:shd w:fill="F0F5F7" w:val="clear"/>
        <w:spacing w:after="150" w:before="60" w:line="252" w:lineRule="auto"/>
        <w:ind w:left="120" w:right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E7079"/>
          <w:sz w:val="19"/>
          <w:szCs w:val="19"/>
        </w:rPr>
        <w:t xml:space="preserve">Reference:  </w:t>
      </w:r>
      <w:hyperlink w:history="1" r:id="rIdyp2hp99v0k2aba-khlu6n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03 · failure-unit coverage standard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; </w:t>
      </w:r>
      <w:hyperlink w:history="1" r:id="rIdmbxfi8nxm8evasuh9jc9i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DOE/FEMP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 + </w:t>
      </w:r>
      <w:hyperlink w:history="1" r:id="rIdam-cel__lvredpyqunmy7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NEMA GD 1</w:t>
        </w:r>
      </w:hyperlink>
    </w:p>
    <w:p>
      <w:pPr>
        <w:pStyle w:val="Heading1"/>
        <w:spacing w:after="60" w:before="3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STAGE 3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0"/>
          <w:szCs w:val="30"/>
        </w:rPr>
        <w:t xml:space="preserve">Axis</w:t>
      </w:r>
    </w:p>
    <w:p>
      <w:pPr>
        <w:spacing w:after="130" w:line="252" w:lineRule="auto"/>
      </w:pPr>
      <w:r>
        <w:rPr>
          <w:rFonts w:ascii="Montserrat" w:cs="Montserrat" w:eastAsia="Montserrat" w:hAnsi="Montserrat"/>
          <w:b/>
          <w:bCs/>
          <w:i/>
          <w:iCs/>
          <w:color w:val="0E7079"/>
          <w:sz w:val="20"/>
          <w:szCs w:val="20"/>
        </w:rPr>
        <w:t xml:space="preserve">Decisive question:  </w:t>
      </w:r>
      <w:r>
        <w:rPr>
          <w:rFonts w:ascii="Montserrat" w:cs="Montserrat" w:eastAsia="Montserrat" w:hAnsi="Montserrat"/>
          <w:b w:val="false"/>
          <w:bCs w:val="false"/>
          <w:i/>
          <w:iCs/>
          <w:color w:val="16324F"/>
          <w:sz w:val="21"/>
          <w:szCs w:val="21"/>
        </w:rPr>
        <w:t xml:space="preserve">What indexes damage for each unit — and why not one site flood depth?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The axis is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local water depth above each component’s critical datum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, plus a secondary velocity/scour proxy for foundations:</w:t>
      </w:r>
    </w:p>
    <w:p>
      <w:pPr>
        <w:shd w:fill="F0F5F7" w:val="clear"/>
        <w:spacing w:after="0" w:before="6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electrical ingress:   h_i = max(0, WSE - z_i_crit)</w:t>
      </w:r>
    </w:p>
    <w:p>
      <w:pPr>
        <w:shd w:fill="F0F5F7" w:val="clear"/>
        <w:spacing w:after="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foundation/civil:     velocity or scour proxy</w:t>
      </w:r>
    </w:p>
    <w:p>
      <w:pPr>
        <w:shd w:fill="F0F5F7" w:val="clear"/>
        <w:spacing w:after="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  WSE = water surface elevation at site datum</w:t>
      </w:r>
    </w:p>
    <w:p>
      <w:pPr>
        <w:shd w:fill="F0F5F7" w:val="clear"/>
        <w:spacing w:after="14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  z_i_crit = component-specific critical elevation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Rejected: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a single plant-level depth curve (two items at the same site depth differ by pad height and entry height), and full 2-D depth × duration curves (duration/contamination/salinity matter, but public evidence isn’t dense enough for per-unit 2-D curves in v1 — they are carried as conditioners/open seams).</w:t>
      </w:r>
    </w:p>
    <w:p>
      <w:pPr>
        <w:shd w:fill="F0F5F7" w:val="clear"/>
        <w:spacing w:after="150" w:before="60" w:line="252" w:lineRule="auto"/>
        <w:ind w:left="120" w:right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E7079"/>
          <w:sz w:val="19"/>
          <w:szCs w:val="19"/>
        </w:rPr>
        <w:t xml:space="preserve">Reference:  </w:t>
      </w:r>
      <w:hyperlink w:history="1" r:id="rIdgh7odnkcj_yfcxnlm7am2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04 · x-axis decision standard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; elevation/protection framing — </w:t>
      </w:r>
      <w:hyperlink w:history="1" r:id="rIds3huojig0u5t8k-8b72q_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FEMA / Building America</w:t>
        </w:r>
      </w:hyperlink>
    </w:p>
    <w:p>
      <w:r>
        <w:br w:type="page"/>
      </w:r>
    </w:p>
    <w:p>
      <w:pPr>
        <w:pStyle w:val="Heading1"/>
        <w:spacing w:after="60" w:before="3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STAGE 4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0"/>
          <w:szCs w:val="30"/>
        </w:rPr>
        <w:t xml:space="preserve">Form  —  why this curve shape</w:t>
      </w:r>
    </w:p>
    <w:p>
      <w:pPr>
        <w:spacing w:after="130" w:line="252" w:lineRule="auto"/>
      </w:pPr>
      <w:r>
        <w:rPr>
          <w:rFonts w:ascii="Montserrat" w:cs="Montserrat" w:eastAsia="Montserrat" w:hAnsi="Montserrat"/>
          <w:b/>
          <w:bCs/>
          <w:i/>
          <w:iCs/>
          <w:color w:val="0E7079"/>
          <w:sz w:val="20"/>
          <w:szCs w:val="20"/>
        </w:rPr>
        <w:t xml:space="preserve">Decisive question:  </w:t>
      </w:r>
      <w:r>
        <w:rPr>
          <w:rFonts w:ascii="Montserrat" w:cs="Montserrat" w:eastAsia="Montserrat" w:hAnsi="Montserrat"/>
          <w:b w:val="false"/>
          <w:bCs w:val="false"/>
          <w:i/>
          <w:iCs/>
          <w:color w:val="16324F"/>
          <w:sz w:val="21"/>
          <w:szCs w:val="21"/>
        </w:rPr>
        <w:t xml:space="preserve">What shape do the curves take, and what is the evidence for that shape (not just its parameters)?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Form: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piecewise-linear depth-percent (state) curves.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Flood electrical damage is threshold/state-like — dry → water reaches the enclosure path → partial ingress/contamination → critical components wet → full submersion — which a tabular depth-percent curve captures better than a smooth fragility curve.</w:t>
      </w:r>
    </w:p>
    <w:p>
      <w:pPr>
        <w:spacing w:after="40" w:before="60"/>
        <w:jc w:val="center"/>
      </w:pPr>
      <w:r>
        <w:drawing>
          <wp:inline distT="0" distB="0" distL="0" distR="0">
            <wp:extent cx="4305300" cy="2466975"/>
            <wp:effectExtent t="0" r="0" b="0" l="0"/>
            <wp:docPr id="1" name="floodstate" descr="Threshold/state depth-damage curve" title="Flood state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4" w:lineRule="auto"/>
        <w:jc w:val="center"/>
      </w:pPr>
      <w:r>
        <w:rPr>
          <w:rFonts w:ascii="Montserrat" w:cs="Montserrat" w:eastAsia="Montserrat" w:hAnsi="Montserrat"/>
          <w:b w:val="false"/>
          <w:bCs w:val="false"/>
          <w:i/>
          <w:iCs/>
          <w:color w:val="5B7184"/>
          <w:sz w:val="18"/>
          <w:szCs w:val="18"/>
        </w:rPr>
        <w:t xml:space="preserve">Illustrative inverter curve: near-zero until the critical elevation, then a steep threshold rise — “water is in, or it isn’t.”</w:t>
      </w:r>
    </w:p>
    <w:p>
      <w:pPr>
        <w:pStyle w:val="Heading2"/>
        <w:spacing w:after="80" w:before="20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24"/>
          <w:szCs w:val="24"/>
        </w:rPr>
        <w:t xml:space="preserve">Alternatives considered, and why rejected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Step function —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rejected as too brittle; real sites have uncertainty in elevation, sealing and contamination.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Logistic —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rejected as the default; it implies a smooth biological/fragility transition, whereas flood-equipment guidance is threshold/state-based. (Logistic is right for hail glass breakage, which IS a gradual probability in hail size — a deliberate cross-cell contrast.)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2-D depth × duration —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rejected for v1; insufficient public evidence per unit. Duration/contamination kept as conditioners.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Piecewise-linear depth-percent —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accepted; matches the depth-damage modeling tradition and keeps every threshold auditable.</w:t>
      </w:r>
    </w:p>
    <w:p>
      <w:pPr>
        <w:shd w:fill="F0F5F7" w:val="clear"/>
        <w:spacing w:after="150" w:before="60" w:line="252" w:lineRule="auto"/>
        <w:ind w:left="120" w:right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E7079"/>
          <w:sz w:val="19"/>
          <w:szCs w:val="19"/>
        </w:rPr>
        <w:t xml:space="preserve">Reference: 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internal — </w:t>
      </w:r>
      <w:hyperlink w:history="1" r:id="rIdgwqdllsogpfvcnpqcvhiv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06 · curve form &amp; adjustment standard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;  external precedent — </w:t>
      </w:r>
      <w:hyperlink w:history="1" r:id="rIdhxu7cnmv7h4klr4wxafg6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USACE HEC-FIA depth-percent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;  depth-damage functions as the established flood convention — </w:t>
      </w:r>
      <w:hyperlink w:history="1" r:id="rIdmcbiydnon2ef7s3e-yja2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Frontiers in Water (2022)</w:t>
        </w:r>
      </w:hyperlink>
    </w:p>
    <w:p>
      <w:pPr>
        <w:pStyle w:val="Heading2"/>
        <w:spacing w:after="80" w:before="20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24"/>
          <w:szCs w:val="24"/>
        </w:rPr>
        <w:t xml:space="preserve">v1.0 curve table (module replacement / equipment DR, 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23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Failure-unit (m →)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0.02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0.05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0.15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0.30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0.60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2.00</w:t>
            </w:r>
          </w:p>
        </w:tc>
      </w:tr>
      <w:tr>
        <w:tc>
          <w:tcPr>
            <w:tcW w:type="dxa" w:w="23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Inverter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5%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25%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75%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95%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7079"/>
                <w:sz w:val="16"/>
                <w:szCs w:val="16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7079"/>
                <w:sz w:val="16"/>
                <w:szCs w:val="16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7079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23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Switchgear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10%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40%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85%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7079"/>
                <w:sz w:val="16"/>
                <w:szCs w:val="16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7079"/>
                <w:sz w:val="16"/>
                <w:szCs w:val="16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7079"/>
                <w:sz w:val="16"/>
                <w:szCs w:val="16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7079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23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Transformer/control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3%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10%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25%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45%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65%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80%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7079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23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Combiner/DC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10%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35%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80%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7079"/>
                <w:sz w:val="16"/>
                <w:szCs w:val="16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7079"/>
                <w:sz w:val="16"/>
                <w:szCs w:val="16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7079"/>
                <w:sz w:val="16"/>
                <w:szCs w:val="16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7079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23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SCADA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15%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45%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90%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7079"/>
                <w:sz w:val="16"/>
                <w:szCs w:val="16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7079"/>
                <w:sz w:val="16"/>
                <w:szCs w:val="16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7079"/>
                <w:sz w:val="16"/>
                <w:szCs w:val="16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7079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23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Cable/conduit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2%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5%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10%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15%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25%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40%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65%</w:t>
            </w:r>
          </w:p>
        </w:tc>
      </w:tr>
      <w:tr>
        <w:tc>
          <w:tcPr>
            <w:tcW w:type="dxa" w:w="23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PV module (cond.)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5%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10%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30%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60%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85%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7079"/>
                <w:sz w:val="16"/>
                <w:szCs w:val="16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E7079"/>
                <w:sz w:val="16"/>
                <w:szCs w:val="16"/>
              </w:rPr>
              <w:t xml:space="preserve">100%</w:t>
            </w:r>
          </w:p>
        </w:tc>
      </w:tr>
    </w:tbl>
    <w:p>
      <w:pPr>
        <w:spacing w:after="120" w:before="6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5B7184"/>
          <w:sz w:val="19"/>
          <w:szCs w:val="19"/>
        </w:rPr>
        <w:t xml:space="preserve">Shared depth ordinates continue to 1.50 m; the first few centimetres matter because water entry into control sections or cable entries can trigger replacement before deep submersion. Exact intermediate percentages are engineering parameterization (see Caveats).</w:t>
      </w:r>
    </w:p>
    <w:p>
      <w:r>
        <w:br w:type="page"/>
      </w:r>
    </w:p>
    <w:p>
      <w:pPr>
        <w:pStyle w:val="Heading1"/>
        <w:spacing w:after="60" w:before="3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STAGE 5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0"/>
          <w:szCs w:val="30"/>
        </w:rPr>
        <w:t xml:space="preserve">Adjustments</w:t>
      </w:r>
    </w:p>
    <w:p>
      <w:pPr>
        <w:spacing w:after="130" w:line="252" w:lineRule="auto"/>
      </w:pPr>
      <w:r>
        <w:rPr>
          <w:rFonts w:ascii="Montserrat" w:cs="Montserrat" w:eastAsia="Montserrat" w:hAnsi="Montserrat"/>
          <w:b/>
          <w:bCs/>
          <w:i/>
          <w:iCs/>
          <w:color w:val="0E7079"/>
          <w:sz w:val="20"/>
          <w:szCs w:val="20"/>
        </w:rPr>
        <w:t xml:space="preserve">Decisive question:  </w:t>
      </w:r>
      <w:r>
        <w:rPr>
          <w:rFonts w:ascii="Montserrat" w:cs="Montserrat" w:eastAsia="Montserrat" w:hAnsi="Montserrat"/>
          <w:b w:val="false"/>
          <w:bCs w:val="false"/>
          <w:i/>
          <w:iCs/>
          <w:color w:val="16324F"/>
          <w:sz w:val="21"/>
          <w:szCs w:val="21"/>
        </w:rPr>
        <w:t xml:space="preserve">What changes the curve besides depth — selector, conditioner, exposure?</w:t>
      </w:r>
    </w:p>
    <w:p>
      <w:pPr>
        <w:pStyle w:val="Heading2"/>
        <w:spacing w:after="80" w:before="20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24"/>
          <w:szCs w:val="24"/>
        </w:rPr>
        <w:t xml:space="preserve">Selector — picks a curve variant (fixed metadata)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733"/>
          <w:sz w:val="19"/>
          <w:szCs w:val="19"/>
        </w:rPr>
        <w:t xml:space="preserve">enclosure_rating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 — a Type 6/6P submersion-rated cabinet is a different curve family, not just a value scaling.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733"/>
          <w:sz w:val="19"/>
          <w:szCs w:val="19"/>
        </w:rPr>
        <w:t xml:space="preserve">transformer_type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 — dry-type vs liquid-filled changes replacement logic (a v1.1 selector candidate).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733"/>
          <w:sz w:val="19"/>
          <w:szCs w:val="19"/>
        </w:rPr>
        <w:t xml:space="preserve">cable_wet_location_rating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 — wet-rated cable shifts the collection curve.</w:t>
      </w:r>
    </w:p>
    <w:p>
      <w:pPr>
        <w:pStyle w:val="Heading2"/>
        <w:spacing w:after="80" w:before="20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24"/>
          <w:szCs w:val="24"/>
        </w:rPr>
        <w:t xml:space="preserve">Conditioner — event-time state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733"/>
          <w:sz w:val="18"/>
          <w:szCs w:val="18"/>
        </w:rPr>
        <w:t xml:space="preserve">energized_state / shutdown_before_flood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 — energized inundation can increase severity/safety consequences.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733"/>
          <w:sz w:val="18"/>
          <w:szCs w:val="18"/>
        </w:rPr>
        <w:t xml:space="preserve">conduit_water_path_present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 — floodwater can reach elevated equipment through conduit (open-seam modifier).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733"/>
          <w:sz w:val="18"/>
          <w:szCs w:val="18"/>
        </w:rPr>
        <w:t xml:space="preserve">duration_hr / contamination_class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 — shifts reconditioning vs replacement; carried as conditioner/open seam.</w:t>
      </w:r>
    </w:p>
    <w:p>
      <w:pPr>
        <w:pStyle w:val="Heading2"/>
        <w:spacing w:after="80" w:before="20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24"/>
          <w:szCs w:val="24"/>
        </w:rPr>
        <w:t xml:space="preserve">Exposure — value, not fragility</w:t>
      </w:r>
    </w:p>
    <w:p>
      <w:pPr>
        <w:spacing w:after="120" w:before="0" w:line="264" w:lineRule="auto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733"/>
          <w:sz w:val="19"/>
          <w:szCs w:val="19"/>
        </w:rPr>
        <w:t xml:space="preserve">fraction_of_component_value_exposed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 scales affected value (e.g., only half the inverter stations in the flood swath) — it never changes fragility.</w:t>
      </w:r>
    </w:p>
    <w:p>
      <w:pPr>
        <w:shd w:fill="F0F5F7" w:val="clear"/>
        <w:spacing w:after="150" w:before="60" w:line="252" w:lineRule="auto"/>
        <w:ind w:left="120" w:right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E7079"/>
          <w:sz w:val="19"/>
          <w:szCs w:val="19"/>
        </w:rPr>
        <w:t xml:space="preserve">Reference:  </w:t>
      </w:r>
      <w:hyperlink w:history="1" r:id="rIdi13dx_yv37h5d0veehhzk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07 · selector / conditioner / exposure standard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;  enclosure ratings — </w:t>
      </w:r>
      <w:hyperlink w:history="1" r:id="rIdoi_ysivibkt97mkt4r3ee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NEMA enclosure types</w:t>
        </w:r>
      </w:hyperlink>
    </w:p>
    <w:p>
      <w:pPr>
        <w:pStyle w:val="Heading1"/>
        <w:spacing w:after="60" w:before="3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STAGE 6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0"/>
          <w:szCs w:val="30"/>
        </w:rPr>
        <w:t xml:space="preserve">Emit</w:t>
      </w:r>
    </w:p>
    <w:p>
      <w:pPr>
        <w:spacing w:after="130" w:line="252" w:lineRule="auto"/>
      </w:pPr>
      <w:r>
        <w:rPr>
          <w:rFonts w:ascii="Montserrat" w:cs="Montserrat" w:eastAsia="Montserrat" w:hAnsi="Montserrat"/>
          <w:b/>
          <w:bCs/>
          <w:i/>
          <w:iCs/>
          <w:color w:val="0E7079"/>
          <w:sz w:val="20"/>
          <w:szCs w:val="20"/>
        </w:rPr>
        <w:t xml:space="preserve">Decisive question:  </w:t>
      </w:r>
      <w:r>
        <w:rPr>
          <w:rFonts w:ascii="Montserrat" w:cs="Montserrat" w:eastAsia="Montserrat" w:hAnsi="Montserrat"/>
          <w:b w:val="false"/>
          <w:bCs w:val="false"/>
          <w:i/>
          <w:iCs/>
          <w:color w:val="16324F"/>
          <w:sz w:val="21"/>
          <w:szCs w:val="21"/>
        </w:rPr>
        <w:t xml:space="preserve">What does the cell return per event, and which metrics are honest?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Each failure-unit emits a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scalar depth-driven DR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(plus curve version, evidence level, and selector/conditioner flags). No within-event spread is carried, so the tail is withheld:</w:t>
      </w:r>
    </w:p>
    <w:p>
      <w:pPr>
        <w:shd w:fill="F0F5F7" w:val="clear"/>
        <w:spacing w:after="0" w:before="6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failure-unit scalar DR ............. supported</w:t>
      </w:r>
    </w:p>
    <w:p>
      <w:pPr>
        <w:shd w:fill="F0F5F7" w:val="clear"/>
        <w:spacing w:after="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scenario loss (explicit value basis)  supported</w:t>
      </w:r>
    </w:p>
    <w:p>
      <w:pPr>
        <w:shd w:fill="F0F5F7" w:val="clear"/>
        <w:spacing w:after="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scalar EAL ........................ conditional (downstream frequency + cap-binding preflight)</w:t>
      </w:r>
    </w:p>
    <w:p>
      <w:pPr>
        <w:shd w:fill="F0F5F7" w:val="clear"/>
        <w:spacing w:after="14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PML / VaR / TVaR .................. withheld (no tail distribution carried)</w:t>
      </w:r>
    </w:p>
    <w:p>
      <w:pPr>
        <w:shd w:fill="F0F5F7" w:val="clear"/>
        <w:spacing w:after="150" w:before="60" w:line="252" w:lineRule="auto"/>
        <w:ind w:left="120" w:right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E7079"/>
          <w:sz w:val="19"/>
          <w:szCs w:val="19"/>
        </w:rPr>
        <w:t xml:space="preserve">Reference:  </w:t>
      </w:r>
      <w:hyperlink w:history="1" r:id="rIdgyrd0f7a5ix0jzxjn_grn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21 · capability &amp; cap-binding standard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; </w:t>
      </w:r>
      <w:hyperlink w:history="1" r:id="rIdmt8lquy_qzra1ayn_kwh9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09 · damage-code interface standard</w:t>
        </w:r>
      </w:hyperlink>
    </w:p>
    <w:p>
      <w:pPr>
        <w:pStyle w:val="Heading1"/>
        <w:spacing w:after="60" w:before="3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STAGE 7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0"/>
          <w:szCs w:val="30"/>
        </w:rPr>
        <w:t xml:space="preserve">Ship</w:t>
      </w:r>
    </w:p>
    <w:p>
      <w:pPr>
        <w:spacing w:after="130" w:line="252" w:lineRule="auto"/>
      </w:pPr>
      <w:r>
        <w:rPr>
          <w:rFonts w:ascii="Montserrat" w:cs="Montserrat" w:eastAsia="Montserrat" w:hAnsi="Montserrat"/>
          <w:b/>
          <w:bCs/>
          <w:i/>
          <w:iCs/>
          <w:color w:val="0E7079"/>
          <w:sz w:val="20"/>
          <w:szCs w:val="20"/>
        </w:rPr>
        <w:t xml:space="preserve">Decisive question:  </w:t>
      </w:r>
      <w:r>
        <w:rPr>
          <w:rFonts w:ascii="Montserrat" w:cs="Montserrat" w:eastAsia="Montserrat" w:hAnsi="Montserrat"/>
          <w:b w:val="false"/>
          <w:bCs w:val="false"/>
          <w:i/>
          <w:iCs/>
          <w:color w:val="16324F"/>
          <w:sz w:val="21"/>
          <w:szCs w:val="21"/>
        </w:rPr>
        <w:t xml:space="preserve">What does the consumer receive, and on what terms?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The canonical artifact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733"/>
          <w:sz w:val="16"/>
          <w:szCs w:val="16"/>
        </w:rPr>
        <w:t xml:space="preserve">flood_solar__model_v1_0__docs_r3__curve_artifact.json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serializes the piecewise/state curves and the metric gates. The consumer pins the cell-damage-model version and applies value linkage separately:</w:t>
      </w:r>
    </w:p>
    <w:p>
      <w:pPr>
        <w:shd w:fill="F0F5F7" w:val="clear"/>
        <w:spacing w:after="0" w:before="6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loss_i = DR_i x value_i x exposure_fraction_i</w:t>
      </w:r>
    </w:p>
    <w:p>
      <w:pPr>
        <w:shd w:fill="F0F5F7" w:val="clear"/>
        <w:spacing w:after="14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then EAL / PML / return-period handled downstream, not here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The implementation note names the metadata that actually matters for flood: component critical elevation, pad height/freeboard, module lower-edge elevation, enclosure ratings, transformer type, cable wet-location rating, conduit routing, energized/shutdown state, drainage/defense state, flow velocity.</w:t>
      </w:r>
    </w:p>
    <w:p>
      <w:pPr>
        <w:shd w:fill="F0F5F7" w:val="clear"/>
        <w:spacing w:after="150" w:before="60" w:line="252" w:lineRule="auto"/>
        <w:ind w:left="120" w:right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E7079"/>
          <w:sz w:val="19"/>
          <w:szCs w:val="19"/>
        </w:rPr>
        <w:t xml:space="preserve">Reference:  </w:t>
      </w:r>
      <w:hyperlink w:history="1" r:id="rIdb4kdjtruecgzuhhuxjavv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09 · damage-code interface standard</w:t>
        </w:r>
      </w:hyperlink>
    </w:p>
    <w:p>
      <w:r>
        <w:br w:type="page"/>
      </w:r>
    </w:p>
    <w:p>
      <w:pPr>
        <w:pStyle w:val="Heading1"/>
        <w:spacing w:after="60" w:before="3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CAVEATS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0"/>
          <w:szCs w:val="30"/>
        </w:rPr>
        <w:t xml:space="preserve">Placeholders &amp; open seams — read before use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Per Prashant’s note, every load-bearing assumption is flagged with why it matters and what would replace it. These are the honest edges of v1.0: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3600"/>
        <w:gridCol w:w="3010"/>
      </w:tblGrid>
      <w:tr>
        <w:trPr>
          <w:tblHeader/>
        </w:trPr>
        <w:tc>
          <w:tcPr>
            <w:tcW w:type="dxa" w:w="27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Open seam / placeholder</w:t>
            </w:r>
          </w:p>
        </w:tc>
        <w:tc>
          <w:tcPr>
            <w:tcW w:type="dxa" w:w="3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0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Update trigger</w:t>
            </w:r>
          </w:p>
        </w:tc>
      </w:tr>
      <w:tr>
        <w:tc>
          <w:tcPr>
            <w:tcW w:type="dxa" w:w="27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9A6B1E"/>
                <w:sz w:val="17"/>
                <w:szCs w:val="17"/>
              </w:rPr>
              <w:t xml:space="preserve">Foundation / scour velocity proxy (T4)</w:t>
            </w:r>
          </w:p>
        </w:tc>
        <w:tc>
          <w:tcPr>
            <w:tcW w:type="dxa" w:w="3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Site hydraulics/geotech dominate; the generic curve is a placeholder.</w:t>
            </w:r>
          </w:p>
        </w:tc>
        <w:tc>
          <w:tcPr>
            <w:tcW w:type="dxa" w:w="30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Hydraulic model or forensic failure data.</w:t>
            </w:r>
          </w:p>
        </w:tc>
      </w:tr>
      <w:tr>
        <w:tc>
          <w:tcPr>
            <w:tcW w:type="dxa" w:w="27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9A6B1E"/>
                <w:sz w:val="17"/>
                <w:szCs w:val="17"/>
              </w:rPr>
              <w:t xml:space="preserve">Exact DR % at intermediate depths (T3)</w:t>
            </w:r>
          </w:p>
        </w:tc>
        <w:tc>
          <w:tcPr>
            <w:tcW w:type="dxa" w:w="3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Mechanisms are sourced; the precise percentages are engineering parameterization.</w:t>
            </w:r>
          </w:p>
        </w:tc>
        <w:tc>
          <w:tcPr>
            <w:tcW w:type="dxa" w:w="30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Insurer/claims/OEM/forensic dataset.</w:t>
            </w:r>
          </w:p>
        </w:tc>
      </w:tr>
      <w:tr>
        <w:tc>
          <w:tcPr>
            <w:tcW w:type="dxa" w:w="27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9A6B1E"/>
                <w:sz w:val="17"/>
                <w:szCs w:val="17"/>
              </w:rPr>
              <w:t xml:space="preserve">Default critical elevations</w:t>
            </w:r>
          </w:p>
        </w:tc>
        <w:tc>
          <w:tcPr>
            <w:tcW w:type="dxa" w:w="3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The local-depth transform h_i controls DR.</w:t>
            </w:r>
          </w:p>
        </w:tc>
        <w:tc>
          <w:tcPr>
            <w:tcW w:type="dxa" w:w="30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Site survey / EPC drawings / digital twin.</w:t>
            </w:r>
          </w:p>
        </w:tc>
      </w:tr>
      <w:tr>
        <w:tc>
          <w:tcPr>
            <w:tcW w:type="dxa" w:w="27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9A6B1E"/>
                <w:sz w:val="17"/>
                <w:szCs w:val="17"/>
              </w:rPr>
              <w:t xml:space="preserve">Conduit water-path modifier</w:t>
            </w:r>
          </w:p>
        </w:tc>
        <w:tc>
          <w:tcPr>
            <w:tcW w:type="dxa" w:w="3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Can damage equipment even when a cabinet looks elevated.</w:t>
            </w:r>
          </w:p>
        </w:tc>
        <w:tc>
          <w:tcPr>
            <w:tcW w:type="dxa" w:w="30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Electrical one-line, civil grading, conduit layout.</w:t>
            </w:r>
          </w:p>
        </w:tc>
      </w:tr>
      <w:tr>
        <w:tc>
          <w:tcPr>
            <w:tcW w:type="dxa" w:w="27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9A6B1E"/>
                <w:sz w:val="17"/>
                <w:szCs w:val="17"/>
              </w:rPr>
              <w:t xml:space="preserve">Duration / salinity / contamination</w:t>
            </w:r>
          </w:p>
        </w:tc>
        <w:tc>
          <w:tcPr>
            <w:tcW w:type="dxa" w:w="3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Can shift reconditioning vs replacement.</w:t>
            </w:r>
          </w:p>
        </w:tc>
        <w:tc>
          <w:tcPr>
            <w:tcW w:type="dxa" w:w="30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Source with duration/contamination outcomes.</w:t>
            </w:r>
          </w:p>
        </w:tc>
      </w:tr>
      <w:tr>
        <w:tc>
          <w:tcPr>
            <w:tcW w:type="dxa" w:w="27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9A6B1E"/>
                <w:sz w:val="17"/>
                <w:szCs w:val="17"/>
              </w:rPr>
              <w:t xml:space="preserve">Enclosure-rating misuse</w:t>
            </w:r>
          </w:p>
        </w:tc>
        <w:tc>
          <w:tcPr>
            <w:tcW w:type="dxa" w:w="3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NEMA 4/4X is not submersion protection (only 6/6P).</w:t>
            </w:r>
          </w:p>
        </w:tc>
        <w:tc>
          <w:tcPr>
            <w:tcW w:type="dxa" w:w="30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Actual enclosure rating &amp; installation details.</w:t>
            </w:r>
          </w:p>
        </w:tc>
      </w:tr>
    </w:tbl>
    <w:p>
      <w:pPr>
        <w:shd w:fill="FBF1DD" w:val="clear"/>
        <w:spacing w:after="120" w:before="100" w:line="256" w:lineRule="auto"/>
        <w:ind w:left="120" w:right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9A6B1E"/>
          <w:sz w:val="21"/>
          <w:szCs w:val="21"/>
        </w:rPr>
        <w:t xml:space="preserve">Bottom line: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9A6B1E"/>
          <w:sz w:val="21"/>
          <w:szCs w:val="21"/>
        </w:rPr>
        <w:t xml:space="preserve">v1.0 is a public-source engineering parameterization. The mechanisms and the curve FORM are source-backed; the exact numbers are replaceable placeholders, and the scour axis is explicitly not yet calibrated. It is built so each record can be tightened when claims / OEM / site-engineering evidence arrives.</w:t>
      </w:r>
    </w:p>
    <w:p>
      <w:r>
        <w:br w:type="page"/>
      </w:r>
    </w:p>
    <w:p>
      <w:pPr>
        <w:pStyle w:val="Heading1"/>
        <w:spacing w:after="60" w:before="3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REFERENCES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0"/>
          <w:szCs w:val="30"/>
        </w:rPr>
        <w:t xml:space="preserve">All sources, with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3650"/>
        <w:gridCol w:w="900"/>
        <w:gridCol w:w="1760"/>
      </w:tblGrid>
      <w:tr>
        <w:trPr>
          <w:tblHeader/>
        </w:trP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supports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Link</w:t>
            </w:r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DOE/FEMP PV flood guidance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Solar flood pathways; conduit/submersion mechanisms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5"/>
                <w:szCs w:val="15"/>
              </w:rPr>
              <w:t xml:space="preserve">T2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rpj6bqra6rkep7dlotno4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NEMA GD 1 (water-damaged equipment)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Replacement/reconditioning framing for wet electrical gear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5"/>
                <w:szCs w:val="15"/>
              </w:rPr>
              <w:t xml:space="preserve">T2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qg8u5tp0ccnutppfimexf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NEMA GD 1-2016 (open PDF)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Category table: switchgear, breakers, electronics, transformers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5"/>
                <w:szCs w:val="15"/>
              </w:rPr>
              <w:t xml:space="preserve">T2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vsqdzwcols3sgorb3wdea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NEMA enclosure types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Rain/hosedown vs submersion ratings (selector)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5"/>
                <w:szCs w:val="15"/>
              </w:rPr>
              <w:t xml:space="preserve">T2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wqwslhp8bn4z0tfmdqv61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FEMA / Building America utility flood guide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Elevation/protection framing for utility systems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5"/>
                <w:szCs w:val="15"/>
              </w:rPr>
              <w:t xml:space="preserve">T3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sjpdtzwkxsllc0azd_w-o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USACE HEC-FIA depth-percent damage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The tabular depth-percent curve FORM + interpolation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5"/>
                <w:szCs w:val="15"/>
              </w:rPr>
              <w:t xml:space="preserve">T2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ylpeps0zed7nsjiv_vtdt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Frontiers in Water (2022) — depth-damage functions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Depth-damage functions as the established flood convention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5"/>
                <w:szCs w:val="15"/>
              </w:rPr>
              <w:t xml:space="preserve">context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szkhc_q8itxg8ina-5iu9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InfraSure method standards (00_global_method)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Governs grain / axis / form / adjustments / evidence / emit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5"/>
                <w:szCs w:val="15"/>
              </w:rPr>
              <w:t xml:space="preserve">internal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36" w:lineRule="auto"/>
            </w:pPr>
            <w:hyperlink w:history="1" r:id="rIdhtj0d_hg_dm5gtkiwyruw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</w:tbl>
    <w:p>
      <w:pPr>
        <w:spacing w:after="120" w:before="140" w:line="264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Source of truth on GitHub: </w:t>
      </w:r>
      <w:hyperlink w:history="1" r:id="rIdnnrzfsjl5cbakbwmtxots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flood_solar dossier v1.0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5B7184"/>
          <w:sz w:val="21"/>
          <w:szCs w:val="21"/>
        </w:rPr>
        <w:t xml:space="preserve">  ·  </w:t>
      </w:r>
      <w:hyperlink w:history="1" r:id="rId5yn9jkaixqiqrj8-63jtq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curation notebook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5B7184"/>
          <w:sz w:val="21"/>
          <w:szCs w:val="21"/>
        </w:rPr>
        <w:t xml:space="preserve">  ·  </w:t>
      </w:r>
      <w:hyperlink w:history="1" r:id="rId7emcmsddskhpkvjjqzixa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slide deck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5B7184"/>
          <w:sz w:val="21"/>
          <w:szCs w:val="21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350" w:right="1440" w:bottom="13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Montserrat" w:cs="Montserrat" w:eastAsia="Montserrat" w:hAnsi="Montserrat"/>
        <w:b w:val="false"/>
        <w:bCs w:val="false"/>
        <w:i w:val="false"/>
        <w:iCs w:val="false"/>
        <w:color w:val="5B7184"/>
        <w:sz w:val="15"/>
        <w:szCs w:val="15"/>
      </w:rPr>
      <w:t xml:space="preserve">Cell flood_solar · model v1.0 · docs r3</w:t>
    </w:r>
    <w:r>
      <w:rPr>
        <w:rFonts w:ascii="Montserrat" w:cs="Montserrat" w:eastAsia="Montserrat" w:hAnsi="Montserrat"/>
      </w:rPr>
      <w:t xml:space="preserve">	</w:t>
    </w:r>
    <w:r>
      <w:rPr>
        <w:rFonts w:ascii="Montserrat" w:cs="Montserrat" w:eastAsia="Montserrat" w:hAnsi="Montserrat"/>
        <w:b w:val="false"/>
        <w:bCs w:val="false"/>
        <w:i w:val="false"/>
        <w:iCs w:val="false"/>
        <w:color w:val="5B7184"/>
        <w:sz w:val="15"/>
        <w:szCs w:val="15"/>
      </w:rPr>
      <w:t xml:space="preserve">Page </w:t>
    </w:r>
    <w:r>
      <w:rPr>
        <w:rFonts w:ascii="Montserrat" w:cs="Montserrat" w:eastAsia="Montserrat" w:hAnsi="Montserrat"/>
        <w:color w:val="5B7184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919B" w:sz="4" w:space="6"/>
      </w:pBdr>
      <w:spacing w:after="0"/>
    </w:pPr>
    <w:r>
      <w:rPr>
        <w:rFonts w:ascii="Montserrat" w:cs="Montserrat" w:eastAsia="Montserrat" w:hAnsi="Montserrat"/>
        <w:b/>
        <w:bCs/>
        <w:i w:val="false"/>
        <w:iCs w:val="false"/>
        <w:color w:val="14919B"/>
        <w:sz w:val="16"/>
        <w:szCs w:val="16"/>
      </w:rPr>
      <w:t xml:space="preserve">InfraSure</w:t>
    </w:r>
    <w:r>
      <w:rPr>
        <w:rFonts w:ascii="Montserrat" w:cs="Montserrat" w:eastAsia="Montserrat" w:hAnsi="Montserrat"/>
        <w:b w:val="false"/>
        <w:bCs w:val="false"/>
        <w:i w:val="false"/>
        <w:iCs w:val="false"/>
        <w:color w:val="5B7184"/>
        <w:sz w:val="16"/>
        <w:szCs w:val="16"/>
      </w:rPr>
      <w:t xml:space="preserve">   ·   Damage Modeling  ·  Flood × Solar Worked Reference  ·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30"/>
      </w:pPr>
      <w:rPr>
        <w:b/>
        <w:bCs/>
        <w:color w:val="14919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1B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40"/>
      <w:outlineLvl w:val="0"/>
    </w:pPr>
    <w:rPr>
      <w:rFonts w:ascii="Montserrat" w:cs="Montserrat" w:eastAsia="Montserrat" w:hAnsi="Montserrat"/>
      <w:b/>
      <w:bCs/>
      <w:color w:val="0F2A4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ontserrat" w:cs="Montserrat" w:eastAsia="Montserrat" w:hAnsi="Montserrat"/>
      <w:b/>
      <w:bCs/>
      <w:color w:val="1632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rsw7-yiu8yvjcxtwp_5i" Type="http://schemas.openxmlformats.org/officeDocument/2006/relationships/hyperlink" Target="https://github.com/aamani-ai/Damage_Modeling" TargetMode="External"/><Relationship Id="rIdnm_14vh1bet8lz6nvxvp-" Type="http://schemas.openxmlformats.org/officeDocument/2006/relationships/hyperlink" Target="https://github.com/aamani-ai/Damage_Modeling/blob/main/docs/damage_curves/damage_curve_implementation/DAMAGE_CURVE_LIBRARY_V2_5_IMPLEMENTATION_HARDENED_DELIVERABLE/01_cells/flood_solar/current/flood_solar_curve_derivation_dossier_v1_0.md" TargetMode="External"/><Relationship Id="rIdp6vighqakp2bxrvrkjn29" Type="http://schemas.openxmlformats.org/officeDocument/2006/relationships/hyperlink" Target="https://github.com/aamani-ai/Damage_Modeling/blob/main/notebooks/flood/solar/00_curve_curation_walkthrough.ipynb" TargetMode="External"/><Relationship Id="rIduw37ww0xnptathojblreh" Type="http://schemas.openxmlformats.org/officeDocument/2006/relationships/hyperlink" Target="https://github.com/aamani-ai/Damage_Modeling/blob/main/docs/damage_curves/damage_curve_implementation/DAMAGE_CURVE_LIBRARY_V2_5_IMPLEMENTATION_HARDENED_DELIVERABLE/01_cells/flood_solar/current/flood_solar__model_v1_0__docs_r3__curve_artifact.json" TargetMode="External"/><Relationship Id="rIdiowkeslv1vu1hgtoydcz2" Type="http://schemas.openxmlformats.org/officeDocument/2006/relationships/hyperlink" Target="https://docs.google.com/presentation/d/1pMgfkteZrTPPlDF5DGEgQBkNmlYv9chrtU_t6JjhfIU/edit?usp=sharing" TargetMode="External"/><Relationship Id="rIdtzthdkebqxo-6zii0-ori" Type="http://schemas.openxmlformats.org/officeDocument/2006/relationships/hyperlink" Target="https://github.com/aamani-ai/Damage_Modeling/blob/main/docs/damage_curves/damage_curve_implementation/DAMAGE_CURVE_LIBRARY_V2_5_IMPLEMENTATION_HARDENED_DELIVERABLE/00_global_method/03_failure_unit_coverage_standard.md" TargetMode="External"/><Relationship Id="rIdywwxdp7734sln-83ow7yh" Type="http://schemas.openxmlformats.org/officeDocument/2006/relationships/hyperlink" Target="https://github.com/aamani-ai/Damage_Modeling/blob/main/docs/damage_curves/damage_curve_implementation/DAMAGE_CURVE_LIBRARY_V2_5_IMPLEMENTATION_HARDENED_DELIVERABLE/" TargetMode="External"/><Relationship Id="rIdca8mppwdwknv2pbsnjibx" Type="http://schemas.openxmlformats.org/officeDocument/2006/relationships/hyperlink" Target="https://www.energy.gov/femp/preventing-and-mitigating-flood-damage-solar-photovoltaic-systems" TargetMode="External"/><Relationship Id="rId7poi28ptchjf0vpjsqeal" Type="http://schemas.openxmlformats.org/officeDocument/2006/relationships/hyperlink" Target="https://www.nema.org/standards/view/evaluating-water-damaged-electrical-equipment" TargetMode="External"/><Relationship Id="rIdpvy04fifb9pakte2tkri3" Type="http://schemas.openxmlformats.org/officeDocument/2006/relationships/hyperlink" Target="https://www.nema.org/docs/default-source/standards-document-library/nema-gd-1-2016-evaluating-water-damaged-electrical-equipment-guide.pdf" TargetMode="External"/><Relationship Id="rIdqits6dwtseh2rzlwnpunv" Type="http://schemas.openxmlformats.org/officeDocument/2006/relationships/hyperlink" Target="https://www.nema.org/docs/default-source/products-document-library/nema-enclosure-types.pdf" TargetMode="External"/><Relationship Id="rIda3e7gtw_n8xynqfjdfpt3" Type="http://schemas.openxmlformats.org/officeDocument/2006/relationships/hyperlink" Target="https://basc.pnnl.gov/library/protecting-building-utility-systems-flood-damage-principles-and-practices-design-and" TargetMode="External"/><Relationship Id="rId7s_w52boewn54fwhu47kx" Type="http://schemas.openxmlformats.org/officeDocument/2006/relationships/hyperlink" Target="https://www.hec.usace.army.mil/confluence/fiadocs/fiatechref/latest/direct-damage/depth-percent-damage-relationships-direct-damage" TargetMode="External"/><Relationship Id="rIdhlwtzhtzgad-mhnqd8sct" Type="http://schemas.openxmlformats.org/officeDocument/2006/relationships/hyperlink" Target="https://github.com/aamani-ai/Damage_Modeling/blob/main/docs/damage_curves/damage_curve_implementation/DAMAGE_CURVE_LIBRARY_V2_5_IMPLEMENTATION_HARDENED_DELIVERABLE/00_global_method/08_evidence_provenance_and_links_standard.md" TargetMode="External"/><Relationship Id="rIdyp2hp99v0k2aba-khlu6n" Type="http://schemas.openxmlformats.org/officeDocument/2006/relationships/hyperlink" Target="https://github.com/aamani-ai/Damage_Modeling/blob/main/docs/damage_curves/damage_curve_implementation/DAMAGE_CURVE_LIBRARY_V2_5_IMPLEMENTATION_HARDENED_DELIVERABLE/00_global_method/03_failure_unit_coverage_standard.md" TargetMode="External"/><Relationship Id="rIdmbxfi8nxm8evasuh9jc9i" Type="http://schemas.openxmlformats.org/officeDocument/2006/relationships/hyperlink" Target="https://www.energy.gov/femp/preventing-and-mitigating-flood-damage-solar-photovoltaic-systems" TargetMode="External"/><Relationship Id="rIdam-cel__lvredpyqunmy7" Type="http://schemas.openxmlformats.org/officeDocument/2006/relationships/hyperlink" Target="https://www.nema.org/standards/view/evaluating-water-damaged-electrical-equipment" TargetMode="External"/><Relationship Id="rIdgh7odnkcj_yfcxnlm7am2" Type="http://schemas.openxmlformats.org/officeDocument/2006/relationships/hyperlink" Target="https://github.com/aamani-ai/Damage_Modeling/blob/main/docs/damage_curves/damage_curve_implementation/DAMAGE_CURVE_LIBRARY_V2_5_IMPLEMENTATION_HARDENED_DELIVERABLE/00_global_method/04_x_axis_decision_standard.md" TargetMode="External"/><Relationship Id="rIds3huojig0u5t8k-8b72q_" Type="http://schemas.openxmlformats.org/officeDocument/2006/relationships/hyperlink" Target="https://basc.pnnl.gov/library/protecting-building-utility-systems-flood-damage-principles-and-practices-design-and" TargetMode="External"/><Relationship Id="rIdgwqdllsogpfvcnpqcvhiv" Type="http://schemas.openxmlformats.org/officeDocument/2006/relationships/hyperlink" Target="https://github.com/aamani-ai/Damage_Modeling/blob/main/docs/damage_curves/damage_curve_implementation/DAMAGE_CURVE_LIBRARY_V2_5_IMPLEMENTATION_HARDENED_DELIVERABLE/00_global_method/06_curve_form_and_adjustment_standard.md" TargetMode="External"/><Relationship Id="rIdhxu7cnmv7h4klr4wxafg6" Type="http://schemas.openxmlformats.org/officeDocument/2006/relationships/hyperlink" Target="https://www.hec.usace.army.mil/confluence/fiadocs/fiatechref/latest/direct-damage/depth-percent-damage-relationships-direct-damage" TargetMode="External"/><Relationship Id="rIdmcbiydnon2ef7s3e-yja2" Type="http://schemas.openxmlformats.org/officeDocument/2006/relationships/hyperlink" Target="https://www.frontiersin.org/journals/water/articles/10.3389/frwa.2022.919726/full" TargetMode="External"/><Relationship Id="rIdi13dx_yv37h5d0veehhzk" Type="http://schemas.openxmlformats.org/officeDocument/2006/relationships/hyperlink" Target="https://github.com/aamani-ai/Damage_Modeling/blob/main/docs/damage_curves/damage_curve_implementation/DAMAGE_CURVE_LIBRARY_V2_5_IMPLEMENTATION_HARDENED_DELIVERABLE/00_global_method/07_selector_conditioner_exposure_standard.md" TargetMode="External"/><Relationship Id="rIdoi_ysivibkt97mkt4r3ee" Type="http://schemas.openxmlformats.org/officeDocument/2006/relationships/hyperlink" Target="https://www.nema.org/docs/default-source/products-document-library/nema-enclosure-types.pdf" TargetMode="External"/><Relationship Id="rIdgyrd0f7a5ix0jzxjn_grn" Type="http://schemas.openxmlformats.org/officeDocument/2006/relationships/hyperlink" Target="https://github.com/aamani-ai/Damage_Modeling/blob/main/docs/damage_curves/damage_curve_implementation/DAMAGE_CURVE_LIBRARY_V2_5_IMPLEMENTATION_HARDENED_DELIVERABLE/00_global_method/21_capability_and_cap_binding_standard.md" TargetMode="External"/><Relationship Id="rIdmt8lquy_qzra1ayn_kwh9" Type="http://schemas.openxmlformats.org/officeDocument/2006/relationships/hyperlink" Target="https://github.com/aamani-ai/Damage_Modeling/blob/main/docs/damage_curves/damage_curve_implementation/DAMAGE_CURVE_LIBRARY_V2_5_IMPLEMENTATION_HARDENED_DELIVERABLE/00_global_method/09_damage_code_interface_standard.md" TargetMode="External"/><Relationship Id="rIdb4kdjtruecgzuhhuxjavv" Type="http://schemas.openxmlformats.org/officeDocument/2006/relationships/hyperlink" Target="https://github.com/aamani-ai/Damage_Modeling/blob/main/docs/damage_curves/damage_curve_implementation/DAMAGE_CURVE_LIBRARY_V2_5_IMPLEMENTATION_HARDENED_DELIVERABLE/00_global_method/09_damage_code_interface_standard.md" TargetMode="External"/><Relationship Id="rIdrpj6bqra6rkep7dlotno4" Type="http://schemas.openxmlformats.org/officeDocument/2006/relationships/hyperlink" Target="https://www.energy.gov/femp/preventing-and-mitigating-flood-damage-solar-photovoltaic-systems" TargetMode="External"/><Relationship Id="rIdqg8u5tp0ccnutppfimexf" Type="http://schemas.openxmlformats.org/officeDocument/2006/relationships/hyperlink" Target="https://www.nema.org/standards/view/evaluating-water-damaged-electrical-equipment" TargetMode="External"/><Relationship Id="rIdvsqdzwcols3sgorb3wdea" Type="http://schemas.openxmlformats.org/officeDocument/2006/relationships/hyperlink" Target="https://www.nema.org/docs/default-source/standards-document-library/nema-gd-1-2016-evaluating-water-damaged-electrical-equipment-guide.pdf" TargetMode="External"/><Relationship Id="rIdwqwslhp8bn4z0tfmdqv61" Type="http://schemas.openxmlformats.org/officeDocument/2006/relationships/hyperlink" Target="https://www.nema.org/docs/default-source/products-document-library/nema-enclosure-types.pdf" TargetMode="External"/><Relationship Id="rIdsjpdtzwkxsllc0azd_w-o" Type="http://schemas.openxmlformats.org/officeDocument/2006/relationships/hyperlink" Target="https://basc.pnnl.gov/library/protecting-building-utility-systems-flood-damage-principles-and-practices-design-and" TargetMode="External"/><Relationship Id="rIdylpeps0zed7nsjiv_vtdt" Type="http://schemas.openxmlformats.org/officeDocument/2006/relationships/hyperlink" Target="https://www.hec.usace.army.mil/confluence/fiadocs/fiatechref/latest/direct-damage/depth-percent-damage-relationships-direct-damage" TargetMode="External"/><Relationship Id="rIdszkhc_q8itxg8ina-5iu9" Type="http://schemas.openxmlformats.org/officeDocument/2006/relationships/hyperlink" Target="https://www.frontiersin.org/journals/water/articles/10.3389/frwa.2022.919726/full" TargetMode="External"/><Relationship Id="rIdhtj0d_hg_dm5gtkiwyruw" Type="http://schemas.openxmlformats.org/officeDocument/2006/relationships/hyperlink" Target="https://github.com/aamani-ai/Damage_Modeling/tree/main/docs/damage_curves/damage_curve_implementation/DAMAGE_CURVE_LIBRARY_V2_5_IMPLEMENTATION_HARDENED_DELIVERABLE/00_global_method" TargetMode="External"/><Relationship Id="rIdnnrzfsjl5cbakbwmtxots" Type="http://schemas.openxmlformats.org/officeDocument/2006/relationships/hyperlink" Target="https://github.com/aamani-ai/Damage_Modeling/blob/main/docs/damage_curves/damage_curve_implementation/DAMAGE_CURVE_LIBRARY_V2_5_IMPLEMENTATION_HARDENED_DELIVERABLE/01_cells/flood_solar/current/flood_solar_curve_derivation_dossier_v1_0.md" TargetMode="External"/><Relationship Id="rId5yn9jkaixqiqrj8-63jtq" Type="http://schemas.openxmlformats.org/officeDocument/2006/relationships/hyperlink" Target="https://github.com/aamani-ai/Damage_Modeling/blob/main/notebooks/flood/solar/00_curve_curation_walkthrough.ipynb" TargetMode="External"/><Relationship Id="rId7emcmsddskhpkvjjqzixa" Type="http://schemas.openxmlformats.org/officeDocument/2006/relationships/hyperlink" Target="https://docs.google.com/presentation/d/1pMgfkteZrTPPlDF5DGEgQBkNmlYv9chrtU_t6JjhfIU/edit?usp=sharing" TargetMode="External"/><Relationship Id="rId9" Type="http://schemas.openxmlformats.org/officeDocument/2006/relationships/image" Target="media/84d2541ed778c4534061f3ce5982ab2b20e23402.png"/><Relationship Id="rId4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Flood x Solar Worked Reference</dc:title>
  <dc:creator>InfraSure</dc:creator>
  <cp:lastModifiedBy>Un-named</cp:lastModifiedBy>
  <cp:revision>1</cp:revision>
  <dcterms:created xsi:type="dcterms:W3CDTF">2026-07-02T11:19:18.412Z</dcterms:created>
  <dcterms:modified xsi:type="dcterms:W3CDTF">2026-07-02T11:19:18.413Z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