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VALIDATION · TRACK 2 (FINANCIAL RESULTS)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8"/>
          <w:szCs w:val="38"/>
        </w:rPr>
        <w:t xml:space="preserve">Range validation — method &amp; worked example</w:t>
      </w:r>
    </w:p>
    <w:p>
      <w:pPr>
        <w:spacing w:after="150" w:before="0" w:line="276" w:lineRule="auto"/>
      </w:pP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2"/>
          <w:szCs w:val="22"/>
        </w:rPr>
        <w:t xml:space="preserve">How we validate the per-asset dollar output when no competitor number exists at this granularity: reverse-engineer a credible range from renewable-specific reference numbers, normalized to a common basis using our own per-asset financial breakdown. Worked for solar × hail.</w:t>
      </w:r>
    </w:p>
    <w:p>
      <w:pPr>
        <w:shd w:fill="EAF5F6" w:val="clear"/>
        <w:spacing w:after="0" w:before="2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22"/>
          <w:szCs w:val="22"/>
        </w:rPr>
        <w:t xml:space="preserve">Where to find more</w:t>
      </w:r>
    </w:p>
    <w:p>
      <w:pPr>
        <w:shd w:fill="EAF5F6" w:val="clear"/>
        <w:spacing w:after="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19"/>
          <w:szCs w:val="19"/>
        </w:rPr>
        <w:t xml:space="preserve">Benchmark source library: 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renewable_loss_benchmark_source_library (source pathways + benchmark-number matrix)</w:t>
      </w:r>
    </w:p>
    <w:p>
      <w:pPr>
        <w:shd w:fill="EAF5F6" w:val="clear"/>
        <w:spacing w:after="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19"/>
          <w:szCs w:val="19"/>
        </w:rPr>
        <w:t xml:space="preserve">Value / damage crosswalk: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18"/>
          <w:szCs w:val="18"/>
        </w:rPr>
        <w:t xml:space="preserve">02_crosswalks/solar_hail_value_damage_crosswalk.md</w:t>
      </w:r>
    </w:p>
    <w:p>
      <w:pPr>
        <w:shd w:fill="EAF5F6" w:val="clear"/>
        <w:spacing w:after="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19"/>
          <w:szCs w:val="19"/>
        </w:rPr>
        <w:t xml:space="preserve">Damage curve (GitHub):  </w:t>
      </w:r>
      <w:hyperlink w:history="1" r:id="rIdkopu3ildx2r0udhbxpb3q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hail_solar dossier v1.3</w:t>
        </w:r>
      </w:hyperlink>
    </w:p>
    <w:p>
      <w:pPr>
        <w:shd w:fill="EAF5F6" w:val="clear"/>
        <w:spacing w:after="7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19"/>
          <w:szCs w:val="19"/>
        </w:rPr>
        <w:t xml:space="preserve">Slide deck:  </w:t>
      </w:r>
      <w:hyperlink w:history="1" r:id="rIdhl7mc82vfiatinfwusjy5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How We Validate (Google Slides)</w:t>
        </w:r>
      </w:hyperlink>
    </w:p>
    <w:p>
      <w:pPr>
        <w:pStyle w:val="Heading1"/>
        <w:spacing w:after="70" w:before="3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§1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28"/>
          <w:szCs w:val="28"/>
        </w:rPr>
        <w:t xml:space="preserve">Why range validation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The per-asset dollar figure (EAL / PML / return-period loss) is the output that matters most to a client — and the hardest to validate. At this granularity a comparable competitor number rarely exists.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No source publishes “US solar-hail loss is $X–$Y.”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So instead of matching a single “true” number, we check that our output lands inside a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credible range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assembled from renewable-specific reference numbers.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/>
          <w:iCs/>
          <w:color w:val="5B7184"/>
          <w:sz w:val="21"/>
          <w:szCs w:val="21"/>
        </w:rPr>
        <w:t xml:space="preserve">A defensible band is honest; a false-precision match is not. Range validation is a plausibility check and a defense against silent 10× errors — not calibration.</w:t>
      </w:r>
    </w:p>
    <w:p>
      <w:pPr>
        <w:pStyle w:val="Heading1"/>
        <w:spacing w:after="70" w:before="3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§2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28"/>
          <w:szCs w:val="28"/>
        </w:rPr>
        <w:t xml:space="preserve">The method — reverse-engineer a range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Reports give losses for a specific asset or asset type — not a national range. We turn those into a comparable envelope in four steps:</w:t>
      </w:r>
    </w:p>
    <w:p>
      <w:pPr>
        <w:pStyle w:val="ListParagraph"/>
        <w:numPr>
          <w:ilvl w:val="0"/>
          <w:numId w:val="2"/>
        </w:numPr>
        <w:spacing w:after="80" w:line="258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Collect what reports actually give —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per-asset / per-type event losses ($/MW, $/claim, event totals).</w:t>
      </w:r>
    </w:p>
    <w:p>
      <w:pPr>
        <w:pStyle w:val="ListParagraph"/>
        <w:numPr>
          <w:ilvl w:val="0"/>
          <w:numId w:val="2"/>
        </w:numPr>
        <w:spacing w:after="80" w:line="258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Classify the loss basis —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what does “loss” mean here: physical damage, overall, or business interruption? Strip to a like-for-like basis before comparing (see §3).</w:t>
      </w:r>
    </w:p>
    <w:p>
      <w:pPr>
        <w:pStyle w:val="ListParagraph"/>
        <w:numPr>
          <w:ilvl w:val="0"/>
          <w:numId w:val="2"/>
        </w:numPr>
        <w:spacing w:after="80" w:line="258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Recast to a common denominator —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use our per-asset financial breakdown (component × $ + capacity) to convert each number into %TIV, % module value, and an implied damage ratio (see §4).</w:t>
      </w:r>
    </w:p>
    <w:p>
      <w:pPr>
        <w:pStyle w:val="ListParagraph"/>
        <w:numPr>
          <w:ilvl w:val="0"/>
          <w:numId w:val="2"/>
        </w:numPr>
        <w:spacing w:after="80" w:line="258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Assemble the envelope and check —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the normalized anchors define a credible band; confirm our per-asset output lands inside it.</w:t>
      </w:r>
    </w:p>
    <w:p>
      <w:pPr>
        <w:pStyle w:val="Heading2"/>
        <w:spacing w:after="70" w:before="18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3"/>
          <w:szCs w:val="23"/>
        </w:rPr>
        <w:t xml:space="preserve">Our engine — the per-asset financial breakdown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For every U.S. solar asset we hold capacity (MW) plus a component-level dollar breakdown. That yields the value buckets (TIV, physical, module, module + fieldwork) that let us convert any raw dollar number into %TIV — and it is the </w:t>
      </w:r>
      <w:r>
        <w:rPr>
          <w:rFonts w:ascii="Montserrat" w:cs="Montserrat" w:eastAsia="Montserrat" w:hAnsi="Montserrat"/>
          <w:b/>
          <w:bCs/>
          <w:i/>
          <w:iCs/>
          <w:color w:val="1B2733"/>
          <w:sz w:val="21"/>
          <w:szCs w:val="21"/>
        </w:rPr>
        <w:t xml:space="preserve">same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breakdown that drives our per-asset output, so both sides of the comparison share a denominator.</w:t>
      </w:r>
    </w:p>
    <w:p>
      <w:r>
        <w:br w:type="page"/>
      </w:r>
    </w:p>
    <w:p>
      <w:pPr>
        <w:pStyle w:val="Heading1"/>
        <w:spacing w:after="70" w:before="3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§3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28"/>
          <w:szCs w:val="28"/>
        </w:rPr>
        <w:t xml:space="preserve">Compare orange to orange — loss-basis normalization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The single most important caveat: the word “loss” means different things in different reports. Comparing across bases silently corrupts the range. Classify every reference number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Loss basis</w:t>
            </w:r>
          </w:p>
        </w:tc>
        <w:tc>
          <w:tcPr>
            <w:tcW w:type="dxa" w:w="41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includes</w:t>
            </w:r>
          </w:p>
        </w:tc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 for our M3 physical check?</w:t>
            </w:r>
          </w:p>
        </w:tc>
      </w:tr>
      <w:tr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Physical damage</w:t>
            </w:r>
          </w:p>
        </w:tc>
        <w:tc>
          <w:tcPr>
            <w:tcW w:type="dxa" w:w="41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repair/replacement of damaged hardware only</w:t>
            </w:r>
          </w:p>
        </w:tc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Yes — the like-for-like basis</w:t>
            </w:r>
          </w:p>
        </w:tc>
      </w:tr>
      <w:tr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Gross claim / repair cost</w:t>
            </w:r>
          </w:p>
        </w:tc>
        <w:tc>
          <w:tcPr>
            <w:tcW w:type="dxa" w:w="41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physical + fieldwork + claim-handling; often &gt; module value</w:t>
            </w:r>
          </w:p>
        </w:tc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Yes — after recast to module+fieldwork</w:t>
            </w:r>
          </w:p>
        </w:tc>
      </w:tr>
      <w:tr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Overall / insured loss</w:t>
            </w:r>
          </w:p>
        </w:tc>
        <w:tc>
          <w:tcPr>
            <w:tcW w:type="dxa" w:w="41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net of deductible &amp; sublimit, insurer basis</w:t>
            </w:r>
          </w:p>
        </w:tc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Caution — insurance-layer, not ground-up physical</w:t>
            </w:r>
          </w:p>
        </w:tc>
      </w:tr>
      <w:tr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Business interruption</w:t>
            </w:r>
          </w:p>
        </w:tc>
        <w:tc>
          <w:tcPr>
            <w:tcW w:type="dxa" w:w="41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downtime / lost generation / revenue</w:t>
            </w:r>
          </w:p>
        </w:tc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No — exclude (separate from physical)</w:t>
            </w:r>
          </w:p>
        </w:tc>
      </w:tr>
    </w:tbl>
    <w:p>
      <w:pPr>
        <w:spacing w:after="120" w:before="80" w:line="264" w:lineRule="auto"/>
      </w:pPr>
      <w:r>
        <w:rPr>
          <w:rFonts w:ascii="Montserrat" w:cs="Montserrat" w:eastAsia="Montserrat" w:hAnsi="Montserrat"/>
          <w:b w:val="false"/>
          <w:bCs w:val="false"/>
          <w:i/>
          <w:iCs/>
          <w:color w:val="5B7184"/>
          <w:sz w:val="21"/>
          <w:szCs w:val="21"/>
        </w:rPr>
        <w:t xml:space="preserve">Only once two numbers are on the same basis can they share a range. A gross claim that exceeds pure module value is not a curve error — it usually carries fieldwork / claim costs (see §4).</w:t>
      </w:r>
    </w:p>
    <w:p>
      <w:pPr>
        <w:pStyle w:val="Heading1"/>
        <w:spacing w:after="70" w:before="3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§4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28"/>
          <w:szCs w:val="28"/>
        </w:rPr>
        <w:t xml:space="preserve">The value / damage crosswalk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We recast both sides onto our value buckets, so a raw $/MW becomes a comparable %TIV and maps to the grain the M3 hail curve actually damages (PV module / PV array).</w:t>
      </w:r>
    </w:p>
    <w:p>
      <w:pPr>
        <w:pStyle w:val="Heading2"/>
        <w:spacing w:after="70" w:before="18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3"/>
          <w:szCs w:val="23"/>
        </w:rPr>
        <w:t xml:space="preserve">Value buckets (solar, project default basis)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100"/>
        <w:gridCol w:w="1730"/>
        <w:gridCol w:w="1730"/>
      </w:tblGrid>
      <w:tr>
        <w:trPr>
          <w:tblHeader/>
        </w:trPr>
        <w:tc>
          <w:tcPr>
            <w:tcW w:type="dxa" w:w="38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21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$ / MWdc</w:t>
            </w:r>
          </w:p>
        </w:tc>
        <w:tc>
          <w:tcPr>
            <w:tcW w:type="dxa" w:w="173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TIV</w:t>
            </w:r>
          </w:p>
        </w:tc>
        <w:tc>
          <w:tcPr>
            <w:tcW w:type="dxa" w:w="173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8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Installed TIV</w:t>
            </w:r>
          </w:p>
        </w:tc>
        <w:tc>
          <w:tcPr>
            <w:tcW w:type="dxa" w:w="21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$1,120,000</w:t>
            </w:r>
          </w:p>
        </w:tc>
        <w:tc>
          <w:tcPr>
            <w:tcW w:type="dxa" w:w="173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4919B"/>
                <w:sz w:val="17"/>
                <w:szCs w:val="17"/>
              </w:rPr>
              <w:t xml:space="preserve">100%</w:t>
            </w:r>
          </w:p>
        </w:tc>
        <w:tc>
          <w:tcPr>
            <w:tcW w:type="dxa" w:w="173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5B7184"/>
                <w:sz w:val="15"/>
                <w:szCs w:val="15"/>
              </w:rPr>
              <w:t xml:space="preserve">project denominator</w:t>
            </w:r>
          </w:p>
        </w:tc>
      </w:tr>
      <w:tr>
        <w:tc>
          <w:tcPr>
            <w:tcW w:type="dxa" w:w="38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Physical replaceable value</w:t>
            </w:r>
          </w:p>
        </w:tc>
        <w:tc>
          <w:tcPr>
            <w:tcW w:type="dxa" w:w="21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$877,796</w:t>
            </w:r>
          </w:p>
        </w:tc>
        <w:tc>
          <w:tcPr>
            <w:tcW w:type="dxa" w:w="173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4919B"/>
                <w:sz w:val="17"/>
                <w:szCs w:val="17"/>
              </w:rPr>
              <w:t xml:space="preserve">78%</w:t>
            </w:r>
          </w:p>
        </w:tc>
        <w:tc>
          <w:tcPr>
            <w:tcW w:type="dxa" w:w="173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5B7184"/>
                <w:sz w:val="15"/>
                <w:szCs w:val="15"/>
              </w:rPr>
              <w:t xml:space="preserve">physical-damage denominator</w:t>
            </w:r>
          </w:p>
        </w:tc>
      </w:tr>
      <w:tr>
        <w:tc>
          <w:tcPr>
            <w:tcW w:type="dxa" w:w="38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PV_ARRAY module hardware</w:t>
            </w:r>
          </w:p>
        </w:tc>
        <w:tc>
          <w:tcPr>
            <w:tcW w:type="dxa" w:w="21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$291,215</w:t>
            </w:r>
          </w:p>
        </w:tc>
        <w:tc>
          <w:tcPr>
            <w:tcW w:type="dxa" w:w="173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4919B"/>
                <w:sz w:val="17"/>
                <w:szCs w:val="17"/>
              </w:rPr>
              <w:t xml:space="preserve">26%</w:t>
            </w:r>
          </w:p>
        </w:tc>
        <w:tc>
          <w:tcPr>
            <w:tcW w:type="dxa" w:w="173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5B7184"/>
                <w:sz w:val="15"/>
                <w:szCs w:val="15"/>
              </w:rPr>
              <w:t xml:space="preserve">the M3 hail failure-unit</w:t>
            </w:r>
          </w:p>
        </w:tc>
      </w:tr>
      <w:tr>
        <w:tc>
          <w:tcPr>
            <w:tcW w:type="dxa" w:w="38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PV_ARRAY + replacement fieldwork</w:t>
            </w:r>
          </w:p>
        </w:tc>
        <w:tc>
          <w:tcPr>
            <w:tcW w:type="dxa" w:w="21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$398,084</w:t>
            </w:r>
          </w:p>
        </w:tc>
        <w:tc>
          <w:tcPr>
            <w:tcW w:type="dxa" w:w="173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4919B"/>
                <w:sz w:val="17"/>
                <w:szCs w:val="17"/>
              </w:rPr>
              <w:t xml:space="preserve">36%</w:t>
            </w:r>
          </w:p>
        </w:tc>
        <w:tc>
          <w:tcPr>
            <w:tcW w:type="dxa" w:w="173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5B7184"/>
                <w:sz w:val="15"/>
                <w:szCs w:val="15"/>
              </w:rPr>
              <w:t xml:space="preserve">gross physical repair bucket</w:t>
            </w:r>
          </w:p>
        </w:tc>
      </w:tr>
    </w:tbl>
    <w:p>
      <w:pPr>
        <w:pStyle w:val="Heading2"/>
        <w:spacing w:after="70" w:before="18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3"/>
          <w:szCs w:val="23"/>
        </w:rPr>
        <w:t xml:space="preserve">AXIS severity, recast onto the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5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17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$ / MW</w:t>
            </w:r>
          </w:p>
        </w:tc>
        <w:tc>
          <w:tcPr>
            <w:tcW w:type="dxa" w:w="15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TIV</w:t>
            </w:r>
          </w:p>
        </w:tc>
        <w:tc>
          <w:tcPr>
            <w:tcW w:type="dxa" w:w="34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Comparison grain</w:t>
            </w:r>
          </w:p>
        </w:tc>
      </w:tr>
      <w:tr>
        <w:tc>
          <w:tcPr>
            <w:tcW w:type="dxa" w:w="27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Successful stow</w:t>
            </w:r>
          </w:p>
        </w:tc>
        <w:tc>
          <w:tcPr>
            <w:tcW w:type="dxa" w:w="17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$150,000</w:t>
            </w:r>
          </w:p>
        </w:tc>
        <w:tc>
          <w:tcPr>
            <w:tcW w:type="dxa" w:w="15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4919B"/>
                <w:sz w:val="17"/>
                <w:szCs w:val="17"/>
              </w:rPr>
              <w:t xml:space="preserve">13%</w:t>
            </w:r>
          </w:p>
        </w:tc>
        <w:tc>
          <w:tcPr>
            <w:tcW w:type="dxa" w:w="34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fits the module-hardware bucket</w:t>
            </w:r>
          </w:p>
        </w:tc>
      </w:tr>
      <w:tr>
        <w:tc>
          <w:tcPr>
            <w:tcW w:type="dxa" w:w="27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Fixed-tilt</w:t>
            </w:r>
          </w:p>
        </w:tc>
        <w:tc>
          <w:tcPr>
            <w:tcW w:type="dxa" w:w="17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$340,000</w:t>
            </w:r>
          </w:p>
        </w:tc>
        <w:tc>
          <w:tcPr>
            <w:tcW w:type="dxa" w:w="15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4919B"/>
                <w:sz w:val="17"/>
                <w:szCs w:val="17"/>
              </w:rPr>
              <w:t xml:space="preserve">30%</w:t>
            </w:r>
          </w:p>
        </w:tc>
        <w:tc>
          <w:tcPr>
            <w:tcW w:type="dxa" w:w="34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needs fieldwork / claim-cost allocation</w:t>
            </w:r>
          </w:p>
        </w:tc>
      </w:tr>
      <w:tr>
        <w:tc>
          <w:tcPr>
            <w:tcW w:type="dxa" w:w="27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Failed stow</w:t>
            </w:r>
          </w:p>
        </w:tc>
        <w:tc>
          <w:tcPr>
            <w:tcW w:type="dxa" w:w="17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$380,000</w:t>
            </w:r>
          </w:p>
        </w:tc>
        <w:tc>
          <w:tcPr>
            <w:tcW w:type="dxa" w:w="15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4919B"/>
                <w:sz w:val="17"/>
                <w:szCs w:val="17"/>
              </w:rPr>
              <w:t xml:space="preserve">34%</w:t>
            </w:r>
          </w:p>
        </w:tc>
        <w:tc>
          <w:tcPr>
            <w:tcW w:type="dxa" w:w="34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needs fieldwork / claim-cost allocation</w:t>
            </w:r>
          </w:p>
        </w:tc>
      </w:tr>
    </w:tbl>
    <w:p>
      <w:pPr>
        <w:shd w:fill="FBF1DD" w:val="clear"/>
        <w:spacing w:after="120" w:before="100" w:line="256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9A6B1E"/>
          <w:sz w:val="21"/>
          <w:szCs w:val="21"/>
        </w:rPr>
        <w:t xml:space="preserve">The crosswalk classifies comparability — it does not tune the curve.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9A6B1E"/>
          <w:sz w:val="21"/>
          <w:szCs w:val="21"/>
        </w:rPr>
        <w:t xml:space="preserve">Fixed-tilt / failed-stow severities exceed pure module value; that is coherent once replacement fieldwork is included, not evidence that the curve needs max_DR &gt; 1.</w:t>
      </w:r>
    </w:p>
    <w:p>
      <w:r>
        <w:br w:type="page"/>
      </w:r>
    </w:p>
    <w:p>
      <w:pPr>
        <w:pStyle w:val="Heading1"/>
        <w:spacing w:after="70" w:before="3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§5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28"/>
          <w:szCs w:val="28"/>
        </w:rPr>
        <w:t xml:space="preserve">Worked example — solar × hail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Normalized to %TIV, an illustrative fixed-tilt / no-stow per-asset severity (≈27% of installed TIV) sits inside the envelope set by AXIS's five-year solar-hail claims — so it passes the range check.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2247900"/>
            <wp:effectExtent t="0" r="0" b="0" l="0"/>
            <wp:docPr id="1" name="rangeval" descr="severity envelope" title="Range vali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70" w:before="18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3"/>
          <w:szCs w:val="23"/>
        </w:rPr>
        <w:t xml:space="preserve">Corroborating anchors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60"/>
        <w:gridCol w:w="2700"/>
      </w:tblGrid>
      <w:tr>
        <w:trPr>
          <w:tblHeader/>
        </w:trPr>
        <w:tc>
          <w:tcPr>
            <w:tcW w:type="dxa" w:w="21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says</w:t>
            </w:r>
          </w:p>
        </w:tc>
        <w:tc>
          <w:tcPr>
            <w:tcW w:type="dxa" w:w="27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 · tier</w:t>
            </w:r>
          </w:p>
        </w:tc>
      </w:tr>
      <w:tr>
        <w:tc>
          <w:tcPr>
            <w:tcW w:type="dxa" w:w="21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F2A43"/>
                <w:sz w:val="16"/>
                <w:szCs w:val="16"/>
              </w:rPr>
              <w:t xml:space="preserve">73%</w:t>
            </w:r>
          </w:p>
        </w:tc>
        <w:tc>
          <w:tcPr>
            <w:tcW w:type="dxa" w:w="45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hail = share of solar loss $ (6% of incidents)</w:t>
            </w:r>
          </w:p>
        </w:tc>
        <w:tc>
          <w:tcPr>
            <w:tcW w:type="dxa" w:w="27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5B7184"/>
                <w:sz w:val="15"/>
                <w:szCs w:val="15"/>
              </w:rPr>
              <w:t xml:space="preserve">kWh SRA 2025 · R1</w:t>
            </w:r>
          </w:p>
        </w:tc>
      </w:tr>
      <w:tr>
        <w:tc>
          <w:tcPr>
            <w:tcW w:type="dxa" w:w="21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F2A43"/>
                <w:sz w:val="16"/>
                <w:szCs w:val="16"/>
              </w:rPr>
              <w:t xml:space="preserve">$58.4M</w:t>
            </w:r>
          </w:p>
        </w:tc>
        <w:tc>
          <w:tcPr>
            <w:tcW w:type="dxa" w:w="45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avg hail claim; 54% of hail loss cost</w:t>
            </w:r>
          </w:p>
        </w:tc>
        <w:tc>
          <w:tcPr>
            <w:tcW w:type="dxa" w:w="27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5B7184"/>
                <w:sz w:val="15"/>
                <w:szCs w:val="15"/>
              </w:rPr>
              <w:t xml:space="preserve">GCube · R1</w:t>
            </w:r>
          </w:p>
        </w:tc>
      </w:tr>
      <w:tr>
        <w:tc>
          <w:tcPr>
            <w:tcW w:type="dxa" w:w="21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F2A43"/>
                <w:sz w:val="16"/>
                <w:szCs w:val="16"/>
              </w:rPr>
              <w:t xml:space="preserve">$150/340/380k/MW</w:t>
            </w:r>
          </w:p>
        </w:tc>
        <w:tc>
          <w:tcPr>
            <w:tcW w:type="dxa" w:w="45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event severity by stow state (5-yr claims)</w:t>
            </w:r>
          </w:p>
        </w:tc>
        <w:tc>
          <w:tcPr>
            <w:tcW w:type="dxa" w:w="27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5B7184"/>
                <w:sz w:val="15"/>
                <w:szCs w:val="15"/>
              </w:rPr>
              <w:t xml:space="preserve">AXIS 2025 · R1</w:t>
            </w:r>
          </w:p>
        </w:tc>
      </w:tr>
      <w:tr>
        <w:tc>
          <w:tcPr>
            <w:tcW w:type="dxa" w:w="21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F2A43"/>
                <w:sz w:val="16"/>
                <w:szCs w:val="16"/>
              </w:rPr>
              <w:t xml:space="preserve">$70–80M</w:t>
            </w:r>
          </w:p>
        </w:tc>
        <w:tc>
          <w:tcPr>
            <w:tcW w:type="dxa" w:w="45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Midway Solar event (178 MW, 2019)</w:t>
            </w:r>
          </w:p>
        </w:tc>
        <w:tc>
          <w:tcPr>
            <w:tcW w:type="dxa" w:w="27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5B7184"/>
                <w:sz w:val="15"/>
                <w:szCs w:val="15"/>
              </w:rPr>
              <w:t xml:space="preserve">case study · R3</w:t>
            </w:r>
          </w:p>
        </w:tc>
      </w:tr>
      <w:tr>
        <w:tc>
          <w:tcPr>
            <w:tcW w:type="dxa" w:w="21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F2A43"/>
                <w:sz w:val="16"/>
                <w:szCs w:val="16"/>
              </w:rPr>
              <w:t xml:space="preserve">$50M</w:t>
            </w:r>
          </w:p>
        </w:tc>
        <w:tc>
          <w:tcPr>
            <w:tcW w:type="dxa" w:w="45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Fighting Jays hail sublimit (2024)</w:t>
            </w:r>
          </w:p>
        </w:tc>
        <w:tc>
          <w:tcPr>
            <w:tcW w:type="dxa" w:w="27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5B7184"/>
                <w:sz w:val="15"/>
                <w:szCs w:val="15"/>
              </w:rPr>
              <w:t xml:space="preserve">case study · R3</w:t>
            </w:r>
          </w:p>
        </w:tc>
      </w:tr>
      <w:tr>
        <w:tc>
          <w:tcPr>
            <w:tcW w:type="dxa" w:w="21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F2A43"/>
                <w:sz w:val="16"/>
                <w:szCs w:val="16"/>
              </w:rPr>
              <w:t xml:space="preserve">PML / AAL</w:t>
            </w:r>
          </w:p>
        </w:tc>
        <w:tc>
          <w:tcPr>
            <w:tcW w:type="dxa" w:w="45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engineered hail loss, per site &amp; return period</w:t>
            </w:r>
          </w:p>
        </w:tc>
        <w:tc>
          <w:tcPr>
            <w:tcW w:type="dxa" w:w="27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5B7184"/>
                <w:sz w:val="15"/>
                <w:szCs w:val="15"/>
              </w:rPr>
              <w:t xml:space="preserve">VDE Hail Risk · R2</w:t>
            </w:r>
          </w:p>
        </w:tc>
      </w:tr>
    </w:tbl>
    <w:p>
      <w:pPr>
        <w:pStyle w:val="Heading1"/>
        <w:spacing w:after="70" w:before="3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§6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28"/>
          <w:szCs w:val="28"/>
        </w:rPr>
        <w:t xml:space="preserve">What range validation is — and is not</w:t>
      </w:r>
    </w:p>
    <w:p>
      <w:pPr>
        <w:pStyle w:val="ListParagraph"/>
        <w:numPr>
          <w:ilvl w:val="0"/>
          <w:numId w:val="3"/>
        </w:numPr>
        <w:spacing w:after="70" w:line="258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1"/>
          <w:szCs w:val="21"/>
        </w:rPr>
        <w:t xml:space="preserve">IS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a plausibility envelope — does the number sit where credible evidence says it should?</w:t>
      </w:r>
    </w:p>
    <w:p>
      <w:pPr>
        <w:pStyle w:val="ListParagraph"/>
        <w:numPr>
          <w:ilvl w:val="0"/>
          <w:numId w:val="3"/>
        </w:numPr>
        <w:spacing w:after="70" w:line="258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1"/>
          <w:szCs w:val="21"/>
        </w:rPr>
        <w:t xml:space="preserve">IS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basis-aware — normalized to %TIV before comparison, and honest about gross vs net, BI inclusion, portfolio bias.</w:t>
      </w:r>
    </w:p>
    <w:p>
      <w:pPr>
        <w:pStyle w:val="ListParagraph"/>
        <w:numPr>
          <w:ilvl w:val="0"/>
          <w:numId w:val="3"/>
        </w:numPr>
        <w:spacing w:after="70" w:line="258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8E3B5B"/>
          <w:sz w:val="21"/>
          <w:szCs w:val="21"/>
        </w:rPr>
        <w:t xml:space="preserve">IS NOT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calibration — it does not fit curve parameters to the references.</w:t>
      </w:r>
    </w:p>
    <w:p>
      <w:pPr>
        <w:pStyle w:val="ListParagraph"/>
        <w:numPr>
          <w:ilvl w:val="0"/>
          <w:numId w:val="3"/>
        </w:numPr>
        <w:spacing w:after="70" w:line="258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8E3B5B"/>
          <w:sz w:val="21"/>
          <w:szCs w:val="21"/>
        </w:rPr>
        <w:t xml:space="preserve">IS NOT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a claim that competitor / commercial numbers are ground truth (most are gated and portfolio-biased).</w:t>
      </w:r>
    </w:p>
    <w:p>
      <w:pPr>
        <w:pStyle w:val="ListParagraph"/>
        <w:numPr>
          <w:ilvl w:val="0"/>
          <w:numId w:val="3"/>
        </w:numPr>
        <w:spacing w:after="70" w:line="258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8E3B5B"/>
          <w:sz w:val="21"/>
          <w:szCs w:val="21"/>
        </w:rPr>
        <w:t xml:space="preserve">IS NOT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a substitute for claims calibration once real per-asset loss data arrives.</w:t>
      </w:r>
    </w:p>
    <w:p>
      <w:r>
        <w:br w:type="page"/>
      </w:r>
    </w:p>
    <w:p>
      <w:pPr>
        <w:pStyle w:val="Heading1"/>
        <w:spacing w:after="70" w:before="3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§7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28"/>
          <w:szCs w:val="28"/>
        </w:rPr>
        <w:t xml:space="preserve">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3650"/>
        <w:gridCol w:w="900"/>
        <w:gridCol w:w="1760"/>
      </w:tblGrid>
      <w:tr>
        <w:trPr>
          <w:tblHeader/>
        </w:trP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Reference number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Link</w:t>
            </w:r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kWh Analytics SRA 2025/26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5"/>
                <w:szCs w:val="15"/>
              </w:rPr>
              <w:t xml:space="preserve">hail loss share; 1-in-100 &gt;10% asset value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5"/>
                <w:szCs w:val="15"/>
              </w:rPr>
              <w:t xml:space="preserve">R1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m3yx6e2dzgzwornetna2s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AXIS Global Energy (solar hail)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5"/>
                <w:szCs w:val="15"/>
              </w:rPr>
              <w:t xml:space="preserve">$/MW severity by stow; downtime days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5"/>
                <w:szCs w:val="15"/>
              </w:rPr>
              <w:t xml:space="preserve">R1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smzzpdpxb24zltasqoqjp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GCube / TMHCC (Hail No!)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5"/>
                <w:szCs w:val="15"/>
              </w:rPr>
              <w:t xml:space="preserve">avg hail claim; % of hail loss cost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5"/>
                <w:szCs w:val="15"/>
              </w:rPr>
              <w:t xml:space="preserve">R1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l9zexx9hk3kcfodr5qdnr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J.S. Held (Midway)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5"/>
                <w:szCs w:val="15"/>
              </w:rPr>
              <w:t xml:space="preserve">event severity $70–80M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5"/>
                <w:szCs w:val="15"/>
              </w:rPr>
              <w:t xml:space="preserve">R3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fesaqav_i5x2xyxqfqgak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Descartes / VDE (Fighting Jays)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5"/>
                <w:szCs w:val="15"/>
              </w:rPr>
              <w:t xml:space="preserve">$50M hail sublimit; stow contrast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5"/>
                <w:szCs w:val="15"/>
              </w:rPr>
              <w:t xml:space="preserve">R3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ewb2zgdyot8txoflohkd3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VDE Hail Risk Intelligence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5"/>
                <w:szCs w:val="15"/>
              </w:rPr>
              <w:t xml:space="preserve">engineered PML / AAL per site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5"/>
                <w:szCs w:val="15"/>
              </w:rPr>
              <w:t xml:space="preserve">R2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la6qsgqc_svjpg1qz0bhm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</w:tbl>
    <w:p>
      <w:pPr>
        <w:spacing w:after="120" w:before="120" w:line="264" w:lineRule="auto"/>
      </w:pPr>
      <w:r>
        <w:rPr>
          <w:rFonts w:ascii="Montserrat" w:cs="Montserrat" w:eastAsia="Montserrat" w:hAnsi="Montserrat"/>
          <w:b w:val="false"/>
          <w:bCs w:val="false"/>
          <w:i/>
          <w:iCs/>
          <w:color w:val="5B7184"/>
          <w:sz w:val="18"/>
          <w:szCs w:val="18"/>
        </w:rPr>
        <w:t xml:space="preserve">Full source registry, tags, and the benchmark-number matrix live in the renewable_loss_benchmark_source_library (data/ + 01_pairs/solar_hail).</w:t>
      </w:r>
    </w:p>
    <w:sectPr>
      <w:headerReference w:type="default" r:id="rId7"/>
      <w:footerReference w:type="default" r:id="rId8"/>
      <w:pgSz w:w="12240" w:h="15840" w:orient="portrait"/>
      <w:pgMar w:top="1350" w:right="1440" w:bottom="13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Montserrat" w:cs="Montserrat" w:eastAsia="Montserrat" w:hAnsi="Montserrat"/>
        <w:b w:val="false"/>
        <w:bCs w:val="false"/>
        <w:i w:val="false"/>
        <w:iCs w:val="false"/>
        <w:color w:val="5B7184"/>
        <w:sz w:val="15"/>
        <w:szCs w:val="15"/>
      </w:rPr>
      <w:t xml:space="preserve">Range validation · solar × hail · v0.2</w:t>
    </w:r>
    <w:r>
      <w:rPr>
        <w:rFonts w:ascii="Montserrat" w:cs="Montserrat" w:eastAsia="Montserrat" w:hAnsi="Montserrat"/>
      </w:rPr>
      <w:t xml:space="preserve">	</w:t>
    </w:r>
    <w:r>
      <w:rPr>
        <w:rFonts w:ascii="Montserrat" w:cs="Montserrat" w:eastAsia="Montserrat" w:hAnsi="Montserrat"/>
        <w:b w:val="false"/>
        <w:bCs w:val="false"/>
        <w:i w:val="false"/>
        <w:iCs w:val="false"/>
        <w:color w:val="5B7184"/>
        <w:sz w:val="15"/>
        <w:szCs w:val="15"/>
      </w:rPr>
      <w:t xml:space="preserve">Page </w:t>
    </w:r>
    <w:r>
      <w:rPr>
        <w:rFonts w:ascii="Montserrat" w:cs="Montserrat" w:eastAsia="Montserrat" w:hAnsi="Montserrat"/>
        <w:color w:val="5B7184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919B" w:sz="4" w:space="6"/>
      </w:pBdr>
      <w:spacing w:after="0"/>
    </w:pPr>
    <w:r>
      <w:rPr>
        <w:rFonts w:ascii="Montserrat" w:cs="Montserrat" w:eastAsia="Montserrat" w:hAnsi="Montserrat"/>
        <w:b/>
        <w:bCs/>
        <w:i w:val="false"/>
        <w:iCs w:val="false"/>
        <w:color w:val="14919B"/>
        <w:sz w:val="16"/>
        <w:szCs w:val="16"/>
      </w:rPr>
      <w:t xml:space="preserve">InfraSure</w:t>
    </w:r>
    <w:r>
      <w:rPr>
        <w:rFonts w:ascii="Montserrat" w:cs="Montserrat" w:eastAsia="Montserrat" w:hAnsi="Montserrat"/>
        <w:b w:val="false"/>
        <w:bCs w:val="false"/>
        <w:i w:val="false"/>
        <w:iCs w:val="false"/>
        <w:color w:val="5B7184"/>
        <w:sz w:val="16"/>
        <w:szCs w:val="16"/>
      </w:rPr>
      <w:t xml:space="preserve">   ·   Validation  ·  Range Validation Method  ·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30"/>
      </w:pPr>
      <w:rPr>
        <w:b/>
        <w:bCs/>
        <w:color w:val="14919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  <w:rPr>
        <w:b/>
        <w:bCs/>
        <w:color w:val="0F2A4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B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320"/>
      <w:outlineLvl w:val="0"/>
    </w:pPr>
    <w:rPr>
      <w:rFonts w:ascii="Montserrat" w:cs="Montserrat" w:eastAsia="Montserrat" w:hAnsi="Montserrat"/>
      <w:b/>
      <w:bCs/>
      <w:color w:val="0F2A4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80"/>
      <w:outlineLvl w:val="1"/>
    </w:pPr>
    <w:rPr>
      <w:rFonts w:ascii="Montserrat" w:cs="Montserrat" w:eastAsia="Montserrat" w:hAnsi="Montserrat"/>
      <w:b/>
      <w:bCs/>
      <w:color w:val="1632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opu3ildx2r0udhbxpb3q" Type="http://schemas.openxmlformats.org/officeDocument/2006/relationships/hyperlink" Target="https://github.com/aamani-ai/Damage_Modeling/blob/main/docs/damage_curves/damage_curve_implementation/DAMAGE_CURVE_LIBRARY_V2_5_IMPLEMENTATION_HARDENED_DELIVERABLE/01_cells/hail_solar/current/hail_solar_curve_derivation_dossier_v1_3.md" TargetMode="External"/><Relationship Id="rIdhl7mc82vfiatinfwusjy5" Type="http://schemas.openxmlformats.org/officeDocument/2006/relationships/hyperlink" Target="https://docs.google.com/presentation/d/1pMgfkteZrTPPlDF5DGEgQBkNmlYv9chrtU_t6JjhfIU/edit?usp=sharing" TargetMode="External"/><Relationship Id="rIdm3yx6e2dzgzwornetna2s" Type="http://schemas.openxmlformats.org/officeDocument/2006/relationships/hyperlink" Target="https://kwhanalytics.com/industry-reports/2026-solar-risk-assessment/" TargetMode="External"/><Relationship Id="rIdsmzzpdpxb24zltasqoqjp" Type="http://schemas.openxmlformats.org/officeDocument/2006/relationships/hyperlink" Target="https://investor.axiscapital.com/investors/press-releases/news-details/2025/AXIS-Global-Energy-Special-Report-Highlights-Extent-of-Severe-Weather-Impact-on-Solar-Technology-2025-hbZw1R8iIJ/default.aspx" TargetMode="External"/><Relationship Id="rIdl9zexx9hk3kcfodr5qdnr" Type="http://schemas.openxmlformats.org/officeDocument/2006/relationships/hyperlink" Target="https://www.pv-tech.org/hail-claims-now-average-around-us58-4-million-per-claim-says-gcube-insurance/" TargetMode="External"/><Relationship Id="rIdfesaqav_i5x2xyxqfqgak" Type="http://schemas.openxmlformats.org/officeDocument/2006/relationships/hyperlink" Target="https://www.jsheld.com/insights/articles/solar-farm-hail-damage-the-perfect-storm" TargetMode="External"/><Relationship Id="rIdewb2zgdyot8txoflohkd3" Type="http://schemas.openxmlformats.org/officeDocument/2006/relationships/hyperlink" Target="https://descartesunderwriting.com/case-studies/how-texas-solar-farm-reduced-exposure-severe-weather-parametric-hail-insurance" TargetMode="External"/><Relationship Id="rIdla6qsgqc_svjpg1qz0bhm" Type="http://schemas.openxmlformats.org/officeDocument/2006/relationships/hyperlink" Target="https://www.vde.com/en/vde-americas/hail-risk/hail-risk-advisory-products" TargetMode="External"/><Relationship Id="rId9" Type="http://schemas.openxmlformats.org/officeDocument/2006/relationships/image" Target="media/2d06b8fdec04e43089b6771f0758469174569249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Range Validation Method</dc:title>
  <dc:creator>InfraSure</dc:creator>
  <cp:lastModifiedBy>Un-named</cp:lastModifiedBy>
  <cp:revision>1</cp:revision>
  <dcterms:created xsi:type="dcterms:W3CDTF">2026-07-02T12:11:38.147Z</dcterms:created>
  <dcterms:modified xsi:type="dcterms:W3CDTF">2026-07-02T12:11:38.147Z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