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A1A1A"/>
          <w:sz w:val="48"/>
          <w:szCs w:val="48"/>
        </w:rPr>
        <w:t xml:space="preserve">DAMAGE CURVE EVIDENCE REFERENCE</w:t>
      </w:r>
    </w:p>
    <w:p>
      <w:pPr>
        <w:spacing w:after="80" w:before="0"/>
      </w:pPr>
      <w:r>
        <w:rPr>
          <w:rFonts w:ascii="Arial" w:cs="Arial" w:eastAsia="Arial" w:hAnsi="Arial"/>
          <w:i/>
          <w:iCs/>
          <w:color w:val="4A4A4A"/>
          <w:sz w:val="24"/>
          <w:szCs w:val="24"/>
        </w:rPr>
        <w:t xml:space="preserve">What counts as evidence for a damage curve, how it is tiered, how a tier converts into curve parameters, and what each tier authorizes the curve to claim downstream.</w:t>
      </w:r>
    </w:p>
    <w:p>
      <w:pPr>
        <w:spacing w:after="140" w:line="300"/>
      </w:pPr>
      <w:r>
        <w:rPr>
          <w:rFonts w:ascii="Arial" w:cs="Arial" w:eastAsia="Arial" w:hAnsi="Arial"/>
          <w:b w:val="false"/>
          <w:bCs w:val="false"/>
          <w:i w:val="false"/>
          <w:iCs w:val="false"/>
          <w:color w:val="1A1A1A"/>
          <w:sz w:val="12"/>
          <w:szCs w:val="12"/>
        </w:rPr>
        <w:t xml:space="preserve"/>
      </w:r>
    </w:p>
    <w:p>
      <w:pPr>
        <w:spacing w:after="40" w:before="0"/>
      </w:pPr>
      <w:r>
        <w:rPr>
          <w:rFonts w:ascii="Arial" w:cs="Arial" w:eastAsia="Arial" w:hAnsi="Arial"/>
          <w:b/>
          <w:bCs/>
          <w:color w:val="4A4A4A"/>
          <w:sz w:val="18"/>
          <w:szCs w:val="18"/>
        </w:rPr>
        <w:t xml:space="preserve">Author: </w:t>
      </w:r>
      <w:r>
        <w:rPr>
          <w:rFonts w:ascii="Arial" w:cs="Arial" w:eastAsia="Arial" w:hAnsi="Arial"/>
          <w:color w:val="4A4A4A"/>
          <w:sz w:val="18"/>
          <w:szCs w:val="18"/>
        </w:rPr>
        <w:t xml:space="preserve">InfraSure</w:t>
      </w:r>
    </w:p>
    <w:p>
      <w:pPr>
        <w:spacing w:after="40" w:before="0"/>
      </w:pPr>
      <w:r>
        <w:rPr>
          <w:rFonts w:ascii="Arial" w:cs="Arial" w:eastAsia="Arial" w:hAnsi="Arial"/>
          <w:b/>
          <w:bCs/>
          <w:color w:val="4A4A4A"/>
          <w:sz w:val="18"/>
          <w:szCs w:val="18"/>
        </w:rPr>
        <w:t xml:space="preserve">Audience: </w:t>
      </w:r>
      <w:r>
        <w:rPr>
          <w:rFonts w:ascii="Arial" w:cs="Arial" w:eastAsia="Arial" w:hAnsi="Arial"/>
          <w:color w:val="4A4A4A"/>
          <w:sz w:val="18"/>
          <w:szCs w:val="18"/>
        </w:rPr>
        <w:t xml:space="preserve">Internal modeling team; reviewers and counterparties who need to understand the evidentiary basis of any curve.</w:t>
      </w:r>
    </w:p>
    <w:p>
      <w:pPr>
        <w:spacing w:after="40" w:before="0"/>
      </w:pPr>
      <w:r>
        <w:rPr>
          <w:rFonts w:ascii="Arial" w:cs="Arial" w:eastAsia="Arial" w:hAnsi="Arial"/>
          <w:b/>
          <w:bCs/>
          <w:color w:val="4A4A4A"/>
          <w:sz w:val="18"/>
          <w:szCs w:val="18"/>
        </w:rPr>
        <w:t xml:space="preserve">Folder: </w:t>
      </w:r>
      <w:r>
        <w:rPr>
          <w:rFonts w:ascii="Arial" w:cs="Arial" w:eastAsia="Arial" w:hAnsi="Arial"/>
          <w:color w:val="4A4A4A"/>
          <w:sz w:val="18"/>
          <w:szCs w:val="18"/>
        </w:rPr>
        <w:t xml:space="preserve">Reference</w:t>
      </w:r>
    </w:p>
    <w:p>
      <w:pPr>
        <w:spacing w:after="40" w:before="0"/>
      </w:pPr>
      <w:r>
        <w:rPr>
          <w:rFonts w:ascii="Arial" w:cs="Arial" w:eastAsia="Arial" w:hAnsi="Arial"/>
          <w:b/>
          <w:bCs/>
          <w:color w:val="4A4A4A"/>
          <w:sz w:val="18"/>
          <w:szCs w:val="18"/>
        </w:rPr>
        <w:t xml:space="preserve">Companions: </w:t>
      </w:r>
      <w:r>
        <w:rPr>
          <w:rFonts w:ascii="Arial" w:cs="Arial" w:eastAsia="Arial" w:hAnsi="Arial"/>
          <w:color w:val="4A4A4A"/>
          <w:sz w:val="18"/>
          <w:szCs w:val="18"/>
        </w:rPr>
        <w:t xml:space="preserve">Damage Modeling Terminology (the words); Damage Curve Build Methodology (the construction pipeline that consumes this evidence).</w:t>
      </w:r>
    </w:p>
    <w:p>
      <w:pPr>
        <w:spacing w:after="40" w:before="0"/>
      </w:pPr>
      <w:r>
        <w:rPr>
          <w:rFonts w:ascii="Arial" w:cs="Arial" w:eastAsia="Arial" w:hAnsi="Arial"/>
          <w:b/>
          <w:bCs/>
          <w:color w:val="4A4A4A"/>
          <w:sz w:val="18"/>
          <w:szCs w:val="18"/>
        </w:rPr>
        <w:t xml:space="preserve">Reads: </w:t>
      </w:r>
      <w:r>
        <w:rPr>
          <w:rFonts w:ascii="Arial" w:cs="Arial" w:eastAsia="Arial" w:hAnsi="Arial"/>
          <w:color w:val="4A4A4A"/>
          <w:sz w:val="18"/>
          <w:szCs w:val="18"/>
        </w:rPr>
        <w:t xml:space="preserve">Conceptual sections (§1–§3) read end-to-end; operational sections (§4–§9) read as a manual — pick the protocol you need.</w:t>
      </w:r>
    </w:p>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EDF2F7" w:val="clear"/>
            <w:tcMar>
              <w:top w:type="dxa" w:w="200"/>
              <w:left w:type="dxa" w:w="240"/>
              <w:bottom w:type="dxa" w:w="200"/>
              <w:right w:type="dxa" w:w="240"/>
            </w:tcMar>
          </w:tcPr>
          <w:p>
            <w:pPr>
              <w:spacing w:after="100"/>
            </w:pPr>
            <w:r>
              <w:rPr>
                <w:rFonts w:ascii="Arial" w:cs="Arial" w:eastAsia="Arial" w:hAnsi="Arial"/>
                <w:b/>
                <w:bCs/>
                <w:i w:val="false"/>
                <w:iCs w:val="false"/>
                <w:color w:val="1A1A1A"/>
                <w:sz w:val="22"/>
                <w:szCs w:val="22"/>
              </w:rPr>
              <w:t xml:space="preserve">How to read this document</w:t>
            </w:r>
          </w:p>
          <w:p>
            <w:pPr>
              <w:spacing w:after="140" w:line="300"/>
            </w:pPr>
            <w:r>
              <w:rPr>
                <w:rFonts w:ascii="Arial" w:cs="Arial" w:eastAsia="Arial" w:hAnsi="Arial"/>
                <w:b w:val="false"/>
                <w:bCs w:val="false"/>
                <w:i w:val="false"/>
                <w:iCs w:val="false"/>
                <w:color w:val="1A1A1A"/>
                <w:sz w:val="21"/>
                <w:szCs w:val="21"/>
              </w:rPr>
              <w:t xml:space="preserve">This document defines what is and is not evidence for a damage curve. It does </w:t>
            </w:r>
            <w:r>
              <w:rPr>
                <w:rFonts w:ascii="Arial" w:cs="Arial" w:eastAsia="Arial" w:hAnsi="Arial"/>
                <w:b/>
                <w:bCs/>
                <w:i w:val="false"/>
                <w:iCs w:val="false"/>
                <w:color w:val="1A1A1A"/>
                <w:sz w:val="21"/>
                <w:szCs w:val="21"/>
              </w:rPr>
              <w:t xml:space="preserve">not</w:t>
            </w:r>
            <w:r>
              <w:rPr>
                <w:rFonts w:ascii="Arial" w:cs="Arial" w:eastAsia="Arial" w:hAnsi="Arial"/>
                <w:b w:val="false"/>
                <w:bCs w:val="false"/>
                <w:i w:val="false"/>
                <w:iCs w:val="false"/>
                <w:color w:val="1A1A1A"/>
                <w:sz w:val="21"/>
                <w:szCs w:val="21"/>
              </w:rPr>
              <w:t xml:space="preserve"> build curves and it does </w:t>
            </w:r>
            <w:r>
              <w:rPr>
                <w:rFonts w:ascii="Arial" w:cs="Arial" w:eastAsia="Arial" w:hAnsi="Arial"/>
                <w:b/>
                <w:bCs/>
                <w:i w:val="false"/>
                <w:iCs w:val="false"/>
                <w:color w:val="1A1A1A"/>
                <w:sz w:val="21"/>
                <w:szCs w:val="21"/>
              </w:rPr>
              <w:t xml:space="preserve">not</w:t>
            </w:r>
            <w:r>
              <w:rPr>
                <w:rFonts w:ascii="Arial" w:cs="Arial" w:eastAsia="Arial" w:hAnsi="Arial"/>
                <w:b w:val="false"/>
                <w:bCs w:val="false"/>
                <w:i w:val="false"/>
                <w:iCs w:val="false"/>
                <w:color w:val="1A1A1A"/>
                <w:sz w:val="21"/>
                <w:szCs w:val="21"/>
              </w:rPr>
              <w:t xml:space="preserve"> name individual cells — that work lives in the Build Methodology and in the per-cell folders. What lives here is the framework all of that downstream work assumes.</w:t>
            </w:r>
          </w:p>
          <w:p>
            <w:pPr>
              <w:spacing w:after="140" w:line="300"/>
            </w:pPr>
            <w:r>
              <w:rPr>
                <w:rFonts w:ascii="Arial" w:cs="Arial" w:eastAsia="Arial" w:hAnsi="Arial"/>
                <w:b w:val="false"/>
                <w:bCs w:val="false"/>
                <w:i w:val="false"/>
                <w:iCs w:val="false"/>
                <w:color w:val="1A1A1A"/>
                <w:sz w:val="21"/>
                <w:szCs w:val="21"/>
              </w:rPr>
              <w:t xml:space="preserve">Section 1 explains why damage evidence is structurally different from hazard data. Section 2 defines the tier taxonomy. Section 3 catalogues the source classes you will encounter. Section 4 maps each tier to the curve parameters it can authorize. Section 5 describes provenance discipline. Section 6 is the tier × claim matrix that decides which downstream metrics are honest for a given evidence base. Section 7 is the ingestion protocol for new evidence. Section 8 covers freshness and staleness. Section 9 specifies the dossier template every cell carries. Section 10 indexes back into the other two foundation documents.</w:t>
            </w:r>
          </w:p>
          <w:p>
            <w:pPr>
              <w:spacing w:after="140" w:line="300"/>
            </w:pPr>
            <w:r>
              <w:rPr>
                <w:rFonts w:ascii="Arial" w:cs="Arial" w:eastAsia="Arial" w:hAnsi="Arial"/>
                <w:b w:val="false"/>
                <w:bCs w:val="false"/>
                <w:i w:val="false"/>
                <w:iCs w:val="false"/>
                <w:color w:val="1A1A1A"/>
                <w:sz w:val="21"/>
                <w:szCs w:val="21"/>
              </w:rPr>
              <w:t xml:space="preserve">A reader should be able to take any damage curve in the system, walk back to its evidence, and decide on their own whether the curve is honoring its tier limits or quietly overreaching.</w:t>
            </w:r>
          </w:p>
        </w:tc>
      </w:tr>
    </w:tbl>
    <w:p>
      <w:pPr>
        <w:spacing w:after="280"/>
      </w:pPr>
      <w:r>
        <w:t xml:space="preserve"/>
      </w:r>
    </w:p>
    <w:p>
      <w:pPr>
        <w:pStyle w:val="Heading1"/>
        <w:spacing w:after="200" w:before="480"/>
      </w:pPr>
      <w:r>
        <w:rPr>
          <w:rFonts w:ascii="Arial" w:cs="Arial" w:eastAsia="Arial" w:hAnsi="Arial"/>
          <w:b/>
          <w:bCs/>
          <w:color w:val="1A1A1A"/>
          <w:sz w:val="40"/>
          <w:szCs w:val="40"/>
        </w:rPr>
        <w:t xml:space="preserve">1. Why damage evidence is different from hazard data</w:t>
      </w:r>
    </w:p>
    <w:p>
      <w:pPr>
        <w:spacing w:after="140" w:line="300"/>
      </w:pPr>
      <w:r>
        <w:rPr>
          <w:rFonts w:ascii="Arial" w:cs="Arial" w:eastAsia="Arial" w:hAnsi="Arial"/>
          <w:b w:val="false"/>
          <w:bCs w:val="false"/>
          <w:i w:val="false"/>
          <w:iCs w:val="false"/>
          <w:color w:val="1A1A1A"/>
          <w:sz w:val="21"/>
          <w:szCs w:val="21"/>
        </w:rPr>
        <w:t xml:space="preserve">A hazard catalog is a </w:t>
      </w:r>
      <w:r>
        <w:rPr>
          <w:rFonts w:ascii="Arial" w:cs="Arial" w:eastAsia="Arial" w:hAnsi="Arial"/>
          <w:b/>
          <w:bCs/>
          <w:i w:val="false"/>
          <w:iCs w:val="false"/>
          <w:color w:val="1A1A1A"/>
          <w:sz w:val="21"/>
          <w:szCs w:val="21"/>
        </w:rPr>
        <w:t xml:space="preserve">dataset</w:t>
      </w:r>
      <w:r>
        <w:rPr>
          <w:rFonts w:ascii="Arial" w:cs="Arial" w:eastAsia="Arial" w:hAnsi="Arial"/>
          <w:b w:val="false"/>
          <w:bCs w:val="false"/>
          <w:i w:val="false"/>
          <w:iCs w:val="false"/>
          <w:color w:val="1A1A1A"/>
          <w:sz w:val="21"/>
          <w:szCs w:val="21"/>
        </w:rPr>
        <w:t xml:space="preserve"> — rows with timestamps, locations, and intensities. Two catalogs are compared by joining them on event or by binning intensities and counting. Quality is judged by completeness, recency, and spatial resolution. Hazard data is a thing you ingest, validate, and aggregate.</w:t>
      </w:r>
    </w:p>
    <w:p>
      <w:pPr>
        <w:spacing w:after="140" w:line="300"/>
      </w:pPr>
      <w:r>
        <w:rPr>
          <w:rFonts w:ascii="Arial" w:cs="Arial" w:eastAsia="Arial" w:hAnsi="Arial"/>
          <w:b w:val="false"/>
          <w:bCs w:val="false"/>
          <w:i w:val="false"/>
          <w:iCs w:val="false"/>
          <w:color w:val="1A1A1A"/>
          <w:sz w:val="21"/>
          <w:szCs w:val="21"/>
        </w:rPr>
        <w:t xml:space="preserve">Damage evidence is not like that. It is a </w:t>
      </w:r>
      <w:r>
        <w:rPr>
          <w:rFonts w:ascii="Arial" w:cs="Arial" w:eastAsia="Arial" w:hAnsi="Arial"/>
          <w:b/>
          <w:bCs/>
          <w:i w:val="false"/>
          <w:iCs w:val="false"/>
          <w:color w:val="1A1A1A"/>
          <w:sz w:val="21"/>
          <w:szCs w:val="21"/>
        </w:rPr>
        <w:t xml:space="preserve">qualitative hierarchy of artifacts</w:t>
      </w:r>
      <w:r>
        <w:rPr>
          <w:rFonts w:ascii="Arial" w:cs="Arial" w:eastAsia="Arial" w:hAnsi="Arial"/>
          <w:b w:val="false"/>
          <w:bCs w:val="false"/>
          <w:i w:val="false"/>
          <w:iCs w:val="false"/>
          <w:color w:val="1A1A1A"/>
          <w:sz w:val="21"/>
          <w:szCs w:val="21"/>
        </w:rPr>
        <w:t xml:space="preserve"> — a 2024 wind tunnel paper, a vendor test report, an IEEE standard, a forensic photo set, a HAZUS table, an insurer’s closed-claim summary. These artifacts do not share a schema. They cannot be joined; they can only be </w:t>
      </w:r>
      <w:r>
        <w:rPr>
          <w:rFonts w:ascii="Arial" w:cs="Arial" w:eastAsia="Arial" w:hAnsi="Arial"/>
          <w:b/>
          <w:bCs/>
          <w:i w:val="false"/>
          <w:iCs w:val="false"/>
          <w:color w:val="1A1A1A"/>
          <w:sz w:val="21"/>
          <w:szCs w:val="21"/>
        </w:rPr>
        <w:t xml:space="preserve">curated</w:t>
      </w:r>
      <w:r>
        <w:rPr>
          <w:rFonts w:ascii="Arial" w:cs="Arial" w:eastAsia="Arial" w:hAnsi="Arial"/>
          <w:b w:val="false"/>
          <w:bCs w:val="false"/>
          <w:i w:val="false"/>
          <w:iCs w:val="false"/>
          <w:color w:val="1A1A1A"/>
          <w:sz w:val="21"/>
          <w:szCs w:val="21"/>
        </w:rPr>
        <w:t xml:space="preserve">. Two artifacts that nominally cover the same intensity range can disagree about damage by an order of magnitude because they measure different things, on different specimens, with different definitions of failure.</w:t>
      </w:r>
    </w:p>
    <w:p>
      <w:pPr>
        <w:spacing w:after="140" w:line="300"/>
      </w:pPr>
      <w:r>
        <w:rPr>
          <w:rFonts w:ascii="Arial" w:cs="Arial" w:eastAsia="Arial" w:hAnsi="Arial"/>
          <w:b w:val="false"/>
          <w:bCs w:val="false"/>
          <w:i w:val="false"/>
          <w:iCs w:val="false"/>
          <w:color w:val="1A1A1A"/>
          <w:sz w:val="21"/>
          <w:szCs w:val="21"/>
        </w:rPr>
        <w:t xml:space="preserve">The operating mode for damage evidence is therefore </w:t>
      </w:r>
      <w:r>
        <w:rPr>
          <w:rFonts w:ascii="Arial" w:cs="Arial" w:eastAsia="Arial" w:hAnsi="Arial"/>
          <w:b/>
          <w:bCs/>
          <w:i w:val="false"/>
          <w:iCs w:val="false"/>
          <w:color w:val="01696F"/>
          <w:sz w:val="21"/>
          <w:szCs w:val="21"/>
        </w:rPr>
        <w:t xml:space="preserve">curation, not fitting</w:t>
      </w:r>
      <w:r>
        <w:rPr>
          <w:rFonts w:ascii="Arial" w:cs="Arial" w:eastAsia="Arial" w:hAnsi="Arial"/>
          <w:b w:val="false"/>
          <w:bCs w:val="false"/>
          <w:i w:val="false"/>
          <w:iCs w:val="false"/>
          <w:color w:val="1A1A1A"/>
          <w:sz w:val="21"/>
          <w:szCs w:val="21"/>
        </w:rPr>
        <w:t xml:space="preserve">. You read each artifact, tag what it actually establishes, decide what it can be made to authorize about your curve, and write that down. You do not ingest a stack of papers into a regression and let the regression decide.</w:t>
      </w:r>
    </w:p>
    <w:p>
      <w:pPr>
        <w:pStyle w:val="Heading2"/>
        <w:spacing w:after="140" w:before="320"/>
      </w:pPr>
      <w:r>
        <w:rPr>
          <w:rFonts w:ascii="Arial" w:cs="Arial" w:eastAsia="Arial" w:hAnsi="Arial"/>
          <w:b/>
          <w:bCs/>
          <w:color w:val="1A1A1A"/>
          <w:sz w:val="26"/>
          <w:szCs w:val="26"/>
        </w:rPr>
        <w:t xml:space="preserve">The four structural differences</w:t>
      </w:r>
    </w:p>
    <w:p>
      <w:pPr>
        <w:spacing w:after="140" w:line="300"/>
      </w:pPr>
      <w:r>
        <w:rPr>
          <w:rFonts w:ascii="Arial" w:cs="Arial" w:eastAsia="Arial" w:hAnsi="Arial"/>
          <w:b w:val="false"/>
          <w:bCs w:val="false"/>
          <w:i w:val="false"/>
          <w:iCs w:val="false"/>
          <w:color w:val="1A1A1A"/>
          <w:sz w:val="21"/>
          <w:szCs w:val="21"/>
        </w:rPr>
        <w:t xml:space="preserve">In short form, the four things that make damage evidence behave differently from hazard data: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00"/>
      </w:tblGrid>
      <w:tr>
        <w:trPr>
          <w:tblHeader/>
        </w:trPr>
        <w:tc>
          <w:tcPr>
            <w:tcW w:type="dxa" w:w="1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Difference</w:t>
            </w:r>
          </w:p>
        </w:tc>
        <w:tc>
          <w:tcPr>
            <w:tcW w:type="dxa" w:w="38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Hazard data</w:t>
            </w:r>
          </w:p>
        </w:tc>
        <w:tc>
          <w:tcPr>
            <w:tcW w:type="dxa" w:w="38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Damage evidence</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Schema</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Rows with a fixed schema (event, lat, lon, intensity, time).</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Heterogeneous artifacts (papers, claims summaries, test reports, standards, photos, expert notes). No shared schema.</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Composition rule</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Join, bin, aggregate. Provenance is a column on the row.</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Curate, tier, attribute parameters. Provenance is a folder of artifacts attached to each parameter.</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 mode</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Missing or stale rows; resolution loss; geocoding errors.</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Misapplied tier (treating expert judgment as if it were direct empirical evidence); silent extrapolation past the evidence base; double-counting a single source under two tiers.</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Replacement</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New release supersedes old release.</w:t>
            </w:r>
          </w:p>
        </w:tc>
        <w:tc>
          <w:tcPr>
            <w:tcW w:type="dxa" w:w="3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New evidence updates one parameter at a time; old evidence rarely dies — it gets recontextualized by the new one.</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The curated-not-fitted doctrine</w:t>
      </w:r>
    </w:p>
    <w:p>
      <w:pPr>
        <w:spacing w:after="140" w:line="300"/>
      </w:pPr>
      <w:r>
        <w:rPr>
          <w:rFonts w:ascii="Arial" w:cs="Arial" w:eastAsia="Arial" w:hAnsi="Arial"/>
          <w:b w:val="false"/>
          <w:bCs w:val="false"/>
          <w:i w:val="false"/>
          <w:iCs w:val="false"/>
          <w:color w:val="1A1A1A"/>
          <w:sz w:val="21"/>
          <w:szCs w:val="21"/>
        </w:rPr>
        <w:t xml:space="preserve">Because the evidence is heterogeneous and not jointly observed, </w:t>
      </w:r>
      <w:r>
        <w:rPr>
          <w:rFonts w:ascii="Arial" w:cs="Arial" w:eastAsia="Arial" w:hAnsi="Arial"/>
          <w:b/>
          <w:bCs/>
          <w:i w:val="false"/>
          <w:iCs w:val="false"/>
          <w:color w:val="1A1A1A"/>
          <w:sz w:val="21"/>
          <w:szCs w:val="21"/>
        </w:rPr>
        <w:t xml:space="preserve">fitting cannot rescue a biased evidence base.</w:t>
      </w:r>
      <w:r>
        <w:rPr>
          <w:rFonts w:ascii="Arial" w:cs="Arial" w:eastAsia="Arial" w:hAnsi="Arial"/>
          <w:b w:val="false"/>
          <w:bCs w:val="false"/>
          <w:i w:val="false"/>
          <w:iCs w:val="false"/>
          <w:color w:val="1A1A1A"/>
          <w:sz w:val="21"/>
          <w:szCs w:val="21"/>
        </w:rPr>
        <w:t xml:space="preserve"> If your three sources are all coupon-level tests on a single panel design, a least-squares fit through their points produces a tight curve with a misleadingly small standard error — and a hidden bias the curve cannot describe. Fitting hides the bias; curation forces you to name it.</w:t>
      </w:r>
    </w:p>
    <w:p>
      <w:pPr>
        <w:spacing w:after="140" w:line="300"/>
      </w:pPr>
      <w:r>
        <w:rPr>
          <w:rFonts w:ascii="Arial" w:cs="Arial" w:eastAsia="Arial" w:hAnsi="Arial"/>
          <w:b w:val="false"/>
          <w:bCs w:val="false"/>
          <w:i w:val="false"/>
          <w:iCs w:val="false"/>
          <w:color w:val="1A1A1A"/>
          <w:sz w:val="21"/>
          <w:szCs w:val="21"/>
        </w:rPr>
        <w:t xml:space="preserve">The doctrine, stated as four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Rule 1.</w:t>
            </w:r>
            <w:r>
              <w:rPr>
                <w:rFonts w:ascii="Arial" w:cs="Arial" w:eastAsia="Arial" w:hAnsi="Arial"/>
                <w:b w:val="false"/>
                <w:bCs w:val="false"/>
                <w:i w:val="false"/>
                <w:iCs w:val="false"/>
                <w:color w:val="1A1A1A"/>
                <w:sz w:val="21"/>
                <w:szCs w:val="21"/>
              </w:rPr>
              <w:t xml:space="preserve"> Every curve parameter — </w:t>
            </w:r>
            <w:r>
              <w:rPr>
                <w:rFonts w:ascii="Consolas" w:cs="Consolas" w:eastAsia="Consolas" w:hAnsi="Consolas"/>
                <w:b w:val="false"/>
                <w:bCs w:val="false"/>
                <w:color w:val="1A1A1A"/>
                <w:sz w:val="19"/>
                <w:szCs w:val="19"/>
              </w:rPr>
              <w:t xml:space="preserve">(L, k, x₀)</w:t>
            </w:r>
            <w:r>
              <w:rPr>
                <w:rFonts w:ascii="Arial" w:cs="Arial" w:eastAsia="Arial" w:hAnsi="Arial"/>
                <w:b w:val="false"/>
                <w:bCs w:val="false"/>
                <w:i w:val="false"/>
                <w:iCs w:val="false"/>
                <w:color w:val="1A1A1A"/>
                <w:sz w:val="21"/>
                <w:szCs w:val="21"/>
              </w:rPr>
              <w:t xml:space="preserve">, anchor, cap, conditioner multiplier — is attributed to one or more specific evidence artifacts. No parameter is "fitted" in the sense of "let the optimizer decide."</w:t>
            </w:r>
          </w:p>
          <w:p>
            <w:pPr>
              <w:spacing w:after="140" w:line="300"/>
            </w:pPr>
            <w:r>
              <w:rPr>
                <w:rFonts w:ascii="Arial" w:cs="Arial" w:eastAsia="Arial" w:hAnsi="Arial"/>
                <w:b/>
                <w:bCs/>
                <w:i w:val="false"/>
                <w:iCs w:val="false"/>
                <w:color w:val="1A1A1A"/>
                <w:sz w:val="21"/>
                <w:szCs w:val="21"/>
              </w:rPr>
              <w:t xml:space="preserve">Rule 2.</w:t>
            </w:r>
            <w:r>
              <w:rPr>
                <w:rFonts w:ascii="Arial" w:cs="Arial" w:eastAsia="Arial" w:hAnsi="Arial"/>
                <w:b w:val="false"/>
                <w:bCs w:val="false"/>
                <w:i w:val="false"/>
                <w:iCs w:val="false"/>
                <w:color w:val="1A1A1A"/>
                <w:sz w:val="21"/>
                <w:szCs w:val="21"/>
              </w:rPr>
              <w:t xml:space="preserve"> Where the optimizer is used (e.g. fitting a logistic through three pinned anchor points), the inputs are the curated anchor points and the curve states that. The optimizer reports residuals against the anchors; it never overrides the anchors.</w:t>
            </w:r>
          </w:p>
          <w:p>
            <w:pPr>
              <w:spacing w:after="140" w:line="300"/>
            </w:pPr>
            <w:r>
              <w:rPr>
                <w:rFonts w:ascii="Arial" w:cs="Arial" w:eastAsia="Arial" w:hAnsi="Arial"/>
                <w:b/>
                <w:bCs/>
                <w:i w:val="false"/>
                <w:iCs w:val="false"/>
                <w:color w:val="1A1A1A"/>
                <w:sz w:val="21"/>
                <w:szCs w:val="21"/>
              </w:rPr>
              <w:t xml:space="preserve">Rule 3.</w:t>
            </w:r>
            <w:r>
              <w:rPr>
                <w:rFonts w:ascii="Arial" w:cs="Arial" w:eastAsia="Arial" w:hAnsi="Arial"/>
                <w:b w:val="false"/>
                <w:bCs w:val="false"/>
                <w:i w:val="false"/>
                <w:iCs w:val="false"/>
                <w:color w:val="1A1A1A"/>
                <w:sz w:val="21"/>
                <w:szCs w:val="21"/>
              </w:rPr>
              <w:t xml:space="preserve"> When evidence is thin enough that the curve is essentially an expert opinion, the curve says so in its capability declaration. It does not pretend to support tail metrics.</w:t>
            </w:r>
          </w:p>
          <w:p>
            <w:pPr>
              <w:spacing w:after="140" w:line="300"/>
            </w:pPr>
            <w:r>
              <w:rPr>
                <w:rFonts w:ascii="Arial" w:cs="Arial" w:eastAsia="Arial" w:hAnsi="Arial"/>
                <w:b/>
                <w:bCs/>
                <w:i w:val="false"/>
                <w:iCs w:val="false"/>
                <w:color w:val="1A1A1A"/>
                <w:sz w:val="21"/>
                <w:szCs w:val="21"/>
              </w:rPr>
              <w:t xml:space="preserve">Rule 4.</w:t>
            </w:r>
            <w:r>
              <w:rPr>
                <w:rFonts w:ascii="Arial" w:cs="Arial" w:eastAsia="Arial" w:hAnsi="Arial"/>
                <w:b w:val="false"/>
                <w:bCs w:val="false"/>
                <w:i w:val="false"/>
                <w:iCs w:val="false"/>
                <w:color w:val="1A1A1A"/>
                <w:sz w:val="21"/>
                <w:szCs w:val="21"/>
              </w:rPr>
              <w:t xml:space="preserve"> When two evidence artifacts disagree, the curve does not average them silently. It chooses one and notes the disagreement in the dossier — or, if neither can be chosen, the curve’s spread reflects the disagreement.</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2. The evidence tier taxonomy</w:t>
      </w:r>
    </w:p>
    <w:p>
      <w:pPr>
        <w:spacing w:after="140" w:line="300"/>
      </w:pPr>
      <w:r>
        <w:rPr>
          <w:rFonts w:ascii="Arial" w:cs="Arial" w:eastAsia="Arial" w:hAnsi="Arial"/>
          <w:b w:val="false"/>
          <w:bCs w:val="false"/>
          <w:i w:val="false"/>
          <w:iCs w:val="false"/>
          <w:color w:val="1A1A1A"/>
          <w:sz w:val="21"/>
          <w:szCs w:val="21"/>
        </w:rPr>
        <w:t xml:space="preserve">Every artifact that informs a curve is assigned to exactly one tier. The tier is a statement about the artifact’s evidentiary strength for the specific claim being made — not a global ranking of the artifact itself. A 2024 wind tunnel paper is tier 1 for the panel design it tested and tier 3 (proxy) for the panel design it did not.</w:t>
      </w:r>
    </w:p>
    <w:p>
      <w:pPr>
        <w:pStyle w:val="Heading2"/>
        <w:spacing w:after="140" w:before="320"/>
      </w:pPr>
      <w:r>
        <w:rPr>
          <w:rFonts w:ascii="Arial" w:cs="Arial" w:eastAsia="Arial" w:hAnsi="Arial"/>
          <w:b/>
          <w:bCs/>
          <w:color w:val="1A1A1A"/>
          <w:sz w:val="26"/>
          <w:szCs w:val="26"/>
        </w:rPr>
        <w:t xml:space="preserve">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900"/>
        <w:gridCol w:w="3660"/>
      </w:tblGrid>
      <w:tr>
        <w:trPr>
          <w:tblHeader/>
        </w:trPr>
        <w:tc>
          <w:tcPr>
            <w:tcW w:type="dxa" w:w="11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Tier</w:t>
            </w:r>
          </w:p>
        </w:tc>
        <w:tc>
          <w:tcPr>
            <w:tcW w:type="dxa" w:w="1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Name</w:t>
            </w:r>
          </w:p>
        </w:tc>
        <w:tc>
          <w:tcPr>
            <w:tcW w:type="dxa" w:w="29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is</w:t>
            </w:r>
          </w:p>
        </w:tc>
        <w:tc>
          <w:tcPr>
            <w:tcW w:type="dxa" w:w="36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can authorize</w:t>
            </w:r>
          </w:p>
        </w:tc>
      </w:tr>
      <w:tr>
        <w:trPr>
          <w:tblHeader w:val="false"/>
        </w:trPr>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Direct empirical</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Loss observations on the actual asset class under the actual hazard, with intensity recorded or reconstructible. Closed claims with engineering attribution; field campaigns; test stands with realistic loading; calibrated CFD/FEA where the calibration set is reported.</w:t>
            </w:r>
          </w:p>
        </w:tc>
        <w:tc>
          <w:tcPr>
            <w:tcW w:type="dxa" w:w="3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Anchors at observed intensities. Mean damage ratio shape inside the observed range. Saturation cap if multiple observations span the cap region.</w:t>
            </w:r>
          </w:p>
        </w:tc>
      </w:tr>
      <w:tr>
        <w:trPr>
          <w:tblHeader w:val="false"/>
        </w:trPr>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T2</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Engineering standards</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Industry/consensus standards specifying performance under defined loadings (IEEE, IEC, IBHS, HAZUS, ASCE). Reference values for capacity, design loadings, and laboratory protocols.</w:t>
            </w:r>
          </w:p>
        </w:tc>
        <w:tc>
          <w:tcPr>
            <w:tcW w:type="dxa" w:w="3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Threshold intensities (onset of damage). Saturation caps from capacity ratios. Damage-state cutoffs in fragility form. Cross-asset calibration when no T1 data exists for a specific configuration.</w:t>
            </w:r>
          </w:p>
        </w:tc>
      </w:tr>
      <w:tr>
        <w:trPr>
          <w:tblHeader w:val="false"/>
        </w:trPr>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T3</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Inferred / proxy</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from a related-but-not-identical asset, hazard, or scale. Coupon-level tests; analogous asset types (mono-Si panel data applied to bifacial); cross-event extrapolation (Hurricane A applied to Hurricane B with adjustment).</w:t>
            </w:r>
          </w:p>
        </w:tc>
        <w:tc>
          <w:tcPr>
            <w:tcW w:type="dxa" w:w="3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Order-of-magnitude shape (where the inflection sits, roughly). Variant-specific selectors (e.g. mono-Si vs bifacial) if the proxy is documented. Saturation cap only with an explicit margin of safety.</w:t>
            </w:r>
          </w:p>
        </w:tc>
      </w:tr>
      <w:tr>
        <w:trPr>
          <w:tblHeader w:val="false"/>
        </w:trPr>
        <w:tc>
          <w:tcPr>
            <w:tcW w:type="dxa" w:w="11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T4</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Expert judgment</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Documented opinion from a credentialed practitioner. Elicitation sessions; expert interviews; OEM engineering notes that are not themselves test reports.</w:t>
            </w:r>
          </w:p>
        </w:tc>
        <w:tc>
          <w:tcPr>
            <w:tcW w:type="dxa" w:w="3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Provisional curve at all (i.e. the curve exists at all); selector and conditioner short-lists; flags for where T1/T2 evidence is needed before downstream metrics become honest.</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What a tier is NOT</w:t>
      </w:r>
    </w:p>
    <w:p>
      <w:pPr>
        <w:spacing w:after="140" w:line="300"/>
      </w:pPr>
      <w:r>
        <w:rPr>
          <w:rFonts w:ascii="Arial" w:cs="Arial" w:eastAsia="Arial" w:hAnsi="Arial"/>
          <w:b w:val="false"/>
          <w:bCs w:val="false"/>
          <w:i w:val="false"/>
          <w:iCs w:val="false"/>
          <w:color w:val="1A1A1A"/>
          <w:sz w:val="21"/>
          <w:szCs w:val="21"/>
        </w:rPr>
        <w:t xml:space="preserve">Three common mistakes about tiers, named so they can be avoided:</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A tier is not a quality rating of the artifact in the abstract. </w:t>
      </w:r>
      <w:r>
        <w:rPr>
          <w:rFonts w:ascii="Arial" w:cs="Arial" w:eastAsia="Arial" w:hAnsi="Arial"/>
          <w:b w:val="false"/>
          <w:bCs w:val="false"/>
          <w:i w:val="false"/>
          <w:iCs w:val="false"/>
          <w:color w:val="1A1A1A"/>
          <w:sz w:val="21"/>
          <w:szCs w:val="21"/>
        </w:rPr>
        <w:t xml:space="preserve">A peer-reviewed paper is not automatically T1. It is T1 for the claim it directly establishes — usually a narrow one — and T3 or T4 for adjacent claims.</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A tier is not the sum of the artifacts cited. </w:t>
      </w:r>
      <w:r>
        <w:rPr>
          <w:rFonts w:ascii="Arial" w:cs="Arial" w:eastAsia="Arial" w:hAnsi="Arial"/>
          <w:b w:val="false"/>
          <w:bCs w:val="false"/>
          <w:i w:val="false"/>
          <w:iCs w:val="false"/>
          <w:color w:val="1A1A1A"/>
          <w:sz w:val="21"/>
          <w:szCs w:val="21"/>
        </w:rPr>
        <w:t xml:space="preserve">Five T3 sources do not equal one T1 source. They equal a more confidently stated T3 claim — which is still a T3 claim.</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A tier is not stable forever. </w:t>
      </w:r>
      <w:r>
        <w:rPr>
          <w:rFonts w:ascii="Arial" w:cs="Arial" w:eastAsia="Arial" w:hAnsi="Arial"/>
          <w:b w:val="false"/>
          <w:bCs w:val="false"/>
          <w:i w:val="false"/>
          <w:iCs w:val="false"/>
          <w:color w:val="1A1A1A"/>
          <w:sz w:val="21"/>
          <w:szCs w:val="21"/>
        </w:rPr>
        <w:t xml:space="preserve">When a curve is updated, every artifact-to-tier assignment is revisited. An artifact can be demoted (a 2018 paper whose specimen no longer reflects current technology) or promoted (a 2024 paper whose claim was tier 3 in 2024 becomes tier 1 once a second independent paper corroborates it).</w:t>
      </w:r>
    </w:p>
    <w:p>
      <w:pPr>
        <w:spacing w:after="200"/>
      </w:pPr>
      <w:r>
        <w:t xml:space="preserve"/>
      </w:r>
    </w:p>
    <w:p>
      <w:pPr>
        <w:pStyle w:val="Heading2"/>
        <w:spacing w:after="140" w:before="320"/>
      </w:pPr>
      <w:r>
        <w:rPr>
          <w:rFonts w:ascii="Arial" w:cs="Arial" w:eastAsia="Arial" w:hAnsi="Arial"/>
          <w:b/>
          <w:bCs/>
          <w:color w:val="1A1A1A"/>
          <w:sz w:val="26"/>
          <w:szCs w:val="26"/>
        </w:rPr>
        <w:t xml:space="preserve">The tier-to-confidence ladder</w:t>
      </w:r>
    </w:p>
    <w:p>
      <w:pPr>
        <w:spacing w:before="80" w:after="60"/>
        <w:jc w:val="center"/>
      </w:pPr>
      <w:r>
        <w:drawing>
          <wp:inline distT="0" distB="0" distL="0" distR="0">
            <wp:extent cx="5852160" cy="3582763"/>
            <wp:effectExtent l="0" t="0" r="0" b="0"/>
            <wp:docPr id="401" name="ev_tier_ladder" descr="Tier-to-confidence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ev_tier_ladder.png"/>
                    <pic:cNvPicPr/>
                  </pic:nvPicPr>
                  <pic:blipFill>
                    <a:blip r:embed="rIdLadder"/>
                    <a:stretch>
                      <a:fillRect/>
                    </a:stretch>
                  </pic:blipFill>
                  <pic:spPr>
                    <a:xfrm>
                      <a:off x="0" y="0"/>
                      <a:ext cx="5852160" cy="3582763"/>
                    </a:xfrm>
                    <a:prstGeom prst="rect">
                      <a:avLst/>
                    </a:prstGeom>
                  </pic:spPr>
                </pic:pic>
              </a:graphicData>
            </a:graphic>
          </wp:inline>
        </w:drawing>
      </w:r>
    </w:p>
    <w:p>
      <w:pPr>
        <w:spacing w:before="0" w:after="200"/>
        <w:jc w:val="center"/>
      </w:pPr>
      <w:r>
        <w:rPr>
          <w:i/>
          <w:color w:val="555555"/>
          <w:sz w:val="18"/>
          <w:szCs w:val="18"/>
        </w:rPr>
        <w:t xml:space="preserve">Read vertically: higher tiers authorize more claims, lower tiers fewer. A T4 curve still exists — but its capability declaration says so, and the metrics it supports are the conservative subset.</w:t>
      </w:r>
    </w:p>
    <w:p>
      <w:pPr>
        <w:spacing w:after="200"/>
      </w:pPr>
      <w:r>
        <w:t xml:space="preserve"/>
      </w:r>
    </w:p>
    <w:p>
      <w:pPr>
        <w:spacing w:after="140" w:line="300"/>
      </w:pPr>
      <w:r>
        <w:rPr>
          <w:rFonts w:ascii="Arial" w:cs="Arial" w:eastAsia="Arial" w:hAnsi="Arial"/>
          <w:b w:val="false"/>
          <w:bCs w:val="false"/>
          <w:i w:val="false"/>
          <w:iCs w:val="false"/>
          <w:color w:val="1A1A1A"/>
          <w:sz w:val="21"/>
          <w:szCs w:val="21"/>
        </w:rPr>
        <w:t xml:space="preserve">Read the ladder vertically: the higher tiers authorize more claims; the lower tiers authorize fewer. A curve at tier 4 still </w:t>
      </w:r>
      <w:r>
        <w:rPr>
          <w:rFonts w:ascii="Arial" w:cs="Arial" w:eastAsia="Arial" w:hAnsi="Arial"/>
          <w:b/>
          <w:bCs/>
          <w:i w:val="false"/>
          <w:iCs w:val="false"/>
          <w:color w:val="1A1A1A"/>
          <w:sz w:val="21"/>
          <w:szCs w:val="21"/>
        </w:rPr>
        <w:t xml:space="preserve">exists</w:t>
      </w:r>
      <w:r>
        <w:rPr>
          <w:rFonts w:ascii="Arial" w:cs="Arial" w:eastAsia="Arial" w:hAnsi="Arial"/>
          <w:b w:val="false"/>
          <w:bCs w:val="false"/>
          <w:i w:val="false"/>
          <w:iCs w:val="false"/>
          <w:color w:val="1A1A1A"/>
          <w:sz w:val="21"/>
          <w:szCs w:val="21"/>
        </w:rPr>
        <w:t xml:space="preserve"> — but its capability declaration honestly says so, and the metrics it supports downstream are the conservative subset.</w:t>
      </w:r>
    </w:p>
    <w:p>
      <w:pPr>
        <w:pStyle w:val="Heading1"/>
        <w:spacing w:after="200" w:before="480"/>
      </w:pPr>
      <w:r>
        <w:rPr>
          <w:rFonts w:ascii="Arial" w:cs="Arial" w:eastAsia="Arial" w:hAnsi="Arial"/>
          <w:b/>
          <w:bCs/>
          <w:color w:val="1A1A1A"/>
          <w:sz w:val="40"/>
          <w:szCs w:val="40"/>
        </w:rPr>
        <w:t xml:space="preserve">3. Evidence sources by class</w:t>
      </w:r>
    </w:p>
    <w:p>
      <w:pPr>
        <w:spacing w:after="140" w:line="300"/>
      </w:pPr>
      <w:r>
        <w:rPr>
          <w:rFonts w:ascii="Arial" w:cs="Arial" w:eastAsia="Arial" w:hAnsi="Arial"/>
          <w:b w:val="false"/>
          <w:bCs w:val="false"/>
          <w:i w:val="false"/>
          <w:iCs w:val="false"/>
          <w:color w:val="1A1A1A"/>
          <w:sz w:val="21"/>
          <w:szCs w:val="21"/>
        </w:rPr>
        <w:t xml:space="preserve">A reader walking into the damage layer for the first time should know what the field looks like. This section is a survey — not exhaustive, not prescriptive — of the source classes you will see attached to damage curves. Each class is described as: </w:t>
      </w:r>
      <w:r>
        <w:rPr>
          <w:rFonts w:ascii="Arial" w:cs="Arial" w:eastAsia="Arial" w:hAnsi="Arial"/>
          <w:b/>
          <w:bCs/>
          <w:i w:val="false"/>
          <w:iCs w:val="false"/>
          <w:color w:val="1A1A1A"/>
          <w:sz w:val="21"/>
          <w:szCs w:val="21"/>
        </w:rPr>
        <w:t xml:space="preserve">what it is</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which tier it usually maps to</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what it is good at</w:t>
      </w:r>
      <w:r>
        <w:rPr>
          <w:rFonts w:ascii="Arial" w:cs="Arial" w:eastAsia="Arial" w:hAnsi="Arial"/>
          <w:b w:val="false"/>
          <w:bCs w:val="false"/>
          <w:i w:val="false"/>
          <w:iCs w:val="false"/>
          <w:color w:val="1A1A1A"/>
          <w:sz w:val="21"/>
          <w:szCs w:val="21"/>
        </w:rPr>
        <w:t xml:space="preserve">, </w:t>
      </w:r>
      <w:r>
        <w:rPr>
          <w:rFonts w:ascii="Arial" w:cs="Arial" w:eastAsia="Arial" w:hAnsi="Arial"/>
          <w:b/>
          <w:bCs/>
          <w:i w:val="false"/>
          <w:iCs w:val="false"/>
          <w:color w:val="1A1A1A"/>
          <w:sz w:val="21"/>
          <w:szCs w:val="21"/>
        </w:rPr>
        <w:t xml:space="preserve">and where it fails</w:t>
      </w:r>
      <w:r>
        <w:rPr>
          <w:rFonts w:ascii="Arial" w:cs="Arial" w:eastAsia="Arial" w:hAnsi="Arial"/>
          <w:b w:val="false"/>
          <w:bCs w:val="false"/>
          <w:i w:val="false"/>
          <w:iCs w:val="false"/>
          <w:color w:val="1A1A1A"/>
          <w:sz w:val="21"/>
          <w:szCs w:val="21"/>
        </w:rPr>
        <w:t xml:space="preserve">.</w:t>
      </w:r>
    </w:p>
    <w:p>
      <w:pPr>
        <w:pStyle w:val="Heading2"/>
        <w:spacing w:after="140" w:before="320"/>
      </w:pPr>
      <w:r>
        <w:rPr>
          <w:rFonts w:ascii="Arial" w:cs="Arial" w:eastAsia="Arial" w:hAnsi="Arial"/>
          <w:b/>
          <w:bCs/>
          <w:color w:val="1A1A1A"/>
          <w:sz w:val="26"/>
          <w:szCs w:val="26"/>
        </w:rPr>
        <w:t xml:space="preserve">3.1. Research publications</w:t>
      </w:r>
    </w:p>
    <w:p>
      <w:pPr>
        <w:spacing w:after="140" w:line="300"/>
      </w:pPr>
      <w:r>
        <w:rPr>
          <w:rFonts w:ascii="Arial" w:cs="Arial" w:eastAsia="Arial" w:hAnsi="Arial"/>
          <w:b w:val="false"/>
          <w:bCs w:val="false"/>
          <w:i w:val="false"/>
          <w:iCs w:val="false"/>
          <w:color w:val="1A1A1A"/>
          <w:sz w:val="21"/>
          <w:szCs w:val="21"/>
        </w:rPr>
        <w:t xml:space="preserve">Peer-reviewed journals and conference proceedings reporting experimental, observational, or modeling work on a specific asset × hazard interaction. The bulk of the highest-quality damage evidence sits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Aspect</w:t>
            </w:r>
          </w:p>
        </w:tc>
        <w:tc>
          <w:tcPr>
            <w:tcW w:type="dxa" w:w="7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Detail</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Typical tier</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 for the specific specimen and conditions tested; T3 for the broader asset class.</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Strengths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Documented methodology; specimen and loading specified; usually has uncertainty bounds; replicable.</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 modes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Specimen unrepresentative of fleet; tested intensities cluster in a narrow range; failure criterion idiosyncratic to the lab; ten-year-old findings no longer reflect current technology.</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What to extract</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Anchor points (intensity, damage state or damage ratio) with uncertainty. The methodology section is what justifies the tier assignment — not the abstract.</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3.2. Insurer / reinsurer claims data</w:t>
      </w:r>
    </w:p>
    <w:p>
      <w:pPr>
        <w:spacing w:after="140" w:line="300"/>
      </w:pPr>
      <w:r>
        <w:rPr>
          <w:rFonts w:ascii="Arial" w:cs="Arial" w:eastAsia="Arial" w:hAnsi="Arial"/>
          <w:b w:val="false"/>
          <w:bCs w:val="false"/>
          <w:i w:val="false"/>
          <w:iCs w:val="false"/>
          <w:color w:val="1A1A1A"/>
          <w:sz w:val="21"/>
          <w:szCs w:val="21"/>
        </w:rPr>
        <w:t xml:space="preserve">Closed-claim databases or summaries describing real losses on the actual asset class under the actual hazard. The empirical gold standard when engineering attribution is preserved — but rare and rarely accessible at parameter granularity.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Aspect</w:t>
            </w:r>
          </w:p>
        </w:tc>
        <w:tc>
          <w:tcPr>
            <w:tcW w:type="dxa" w:w="7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Detail</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Typical tier</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 when intensity is reconstructible per event and engineering cause is recorded; T3 when only aggregate dollar losses are available with no per-event intensity.</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Strengths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Real fleet under real events; covers tails (rare/severe events show up here); large samples possible.</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 modes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Selection bias (claims filed != events occurring); intensity reconstruction error; cost-vs-damage confusion (a claim is a dollar amount that includes a lot more than physical damage ratio); deductible/limit truncation.</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What to extract</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Empirical damage-by-intensity anchors after stripping out coverage artifacts. The cleanup is the work — the raw numbers are not the evidence.</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3.3. Vendor / OEM test reports</w:t>
      </w:r>
    </w:p>
    <w:p>
      <w:pPr>
        <w:spacing w:after="140" w:line="300"/>
      </w:pPr>
      <w:r>
        <w:rPr>
          <w:rFonts w:ascii="Arial" w:cs="Arial" w:eastAsia="Arial" w:hAnsi="Arial"/>
          <w:b w:val="false"/>
          <w:bCs w:val="false"/>
          <w:i w:val="false"/>
          <w:iCs w:val="false"/>
          <w:color w:val="1A1A1A"/>
          <w:sz w:val="21"/>
          <w:szCs w:val="21"/>
        </w:rPr>
        <w:t xml:space="preserve">Manufacturer-supplied lab tests of their own product under defined loadings. Often the only quantitative data available for a novel asset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Aspect</w:t>
            </w:r>
          </w:p>
        </w:tc>
        <w:tc>
          <w:tcPr>
            <w:tcW w:type="dxa" w:w="7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Detail</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Typical tier</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T2 when tied to a published standard; T3 otherwise; demoted to T4 if the test protocol is unspecified or proprietary.</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Strengths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Specific to the actual product; standardized test protocol (when present); useful for thresholds.</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 modes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Optimistic specimen (best-in-class unit, not field-representative); accelerated loading that does not extrapolate; no failure-state granularity (pass/fail only); incentive bias.</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What to extract</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Threshold intensities and capacity ratios. Treat as ceiling estimates for mean damage at the test intensity, not anchors at higher intensities.</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3.4. Industry consensus standards</w:t>
      </w:r>
    </w:p>
    <w:p>
      <w:pPr>
        <w:spacing w:after="140" w:line="300"/>
      </w:pPr>
      <w:r>
        <w:rPr>
          <w:rFonts w:ascii="Arial" w:cs="Arial" w:eastAsia="Arial" w:hAnsi="Arial"/>
          <w:b w:val="false"/>
          <w:bCs w:val="false"/>
          <w:i w:val="false"/>
          <w:iCs w:val="false"/>
          <w:color w:val="1A1A1A"/>
          <w:sz w:val="21"/>
          <w:szCs w:val="21"/>
        </w:rPr>
        <w:t xml:space="preserve">Published standards from bodies like IEEE, IEC, IBHS, ASCE, HAZUS, and NIST. They specify capacities, load combinations, design intensities, and (in some cases) damage-state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Aspect</w:t>
            </w:r>
          </w:p>
        </w:tc>
        <w:tc>
          <w:tcPr>
            <w:tcW w:type="dxa" w:w="7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Detail</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Typical tier</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T2 — these are the canonical T2 sources.</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Strengths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Stable references; cross-checkable; widely understood by consumers; reasoned. Capture decades of accumulated practice.</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 modes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Lag the frontier (a standard written in 2012 cannot reflect 2024 panel technology); narrow scope (a standard for monocrystalline silicon does not cover bifacial); design-side bias (most standards specify what the asset must withstand, not what it does when overloaded).</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What to extract</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Damage-onset thresholds, saturation caps, damage-state cutoffs in fragility-form curves. Cross-check anchors derived from T1 sources against the standard’s expectations.</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3.5. Forensic and post-event studies</w:t>
      </w:r>
    </w:p>
    <w:p>
      <w:pPr>
        <w:spacing w:after="140" w:line="300"/>
      </w:pPr>
      <w:r>
        <w:rPr>
          <w:rFonts w:ascii="Arial" w:cs="Arial" w:eastAsia="Arial" w:hAnsi="Arial"/>
          <w:b w:val="false"/>
          <w:bCs w:val="false"/>
          <w:i w:val="false"/>
          <w:iCs w:val="false"/>
          <w:color w:val="1A1A1A"/>
          <w:sz w:val="21"/>
          <w:szCs w:val="21"/>
        </w:rPr>
        <w:t xml:space="preserve">Engineering investigations performed after a specific event — typically a notable hurricane, earthquake, hailstorm, or wildfire. Often published as agency reports (FEMA, USGS, NIST) or as private reconnaissance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Aspect</w:t>
            </w:r>
          </w:p>
        </w:tc>
        <w:tc>
          <w:tcPr>
            <w:tcW w:type="dxa" w:w="7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Detail</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Typical tier</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 for the event covered and the failure modes documented; T3 when applied to other events or asset variants.</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Strengths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Real damage on real fleet under a known event; failure-mode attribution; spatial granularity (which parts of the footprint saw which damage).</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 modes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Selection bias (worst damage is visited first); intensity reconstruction at the asset is rarely as precise as the report makes it sound; the most-published events are not representative of the average event.</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What to extract</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Failure-mode taxonomy and conditioner short-lists; anchor points if intensity reconstruction is credible. Use for selector design as much as for curve fitting.</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3.6. Government / open data — FEMA NRI, USGS, NOAA</w:t>
      </w:r>
    </w:p>
    <w:p>
      <w:pPr>
        <w:spacing w:after="140" w:line="300"/>
      </w:pPr>
      <w:r>
        <w:rPr>
          <w:rFonts w:ascii="Arial" w:cs="Arial" w:eastAsia="Arial" w:hAnsi="Arial"/>
          <w:b w:val="false"/>
          <w:bCs w:val="false"/>
          <w:i w:val="false"/>
          <w:iCs w:val="false"/>
          <w:color w:val="1A1A1A"/>
          <w:sz w:val="21"/>
          <w:szCs w:val="21"/>
        </w:rPr>
        <w:t xml:space="preserve">Open data products that integrate historical losses and modeled exposure to publish national-scale damage and risk indices. FEMA NRI is the canonical example; USGS earthquake ShakeMap loss models and NOAA storm damage estimates are similar.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Aspect</w:t>
            </w:r>
          </w:p>
        </w:tc>
        <w:tc>
          <w:tcPr>
            <w:tcW w:type="dxa" w:w="7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Detail</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Typical tier</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T3 for parameter values (because they are themselves aggregations); T2 for calibration cross-checks at the county/region level.</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Strengths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Coverage; consistency across hazards; calibration target at meso-scale.</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 modes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Aggregation hides asset-specific behavior; baked-in vulnerability assumptions you cannot interrogate; uses methods you may not want to inherit.</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What to extract</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Calibration check — does the cell’s output, when aggregated, reproduce NRI-level losses? Use as a sanity check; do not use as a curve-fitting target.</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3.7. Expert elicitation</w:t>
      </w:r>
    </w:p>
    <w:p>
      <w:pPr>
        <w:spacing w:after="140" w:line="300"/>
      </w:pPr>
      <w:r>
        <w:rPr>
          <w:rFonts w:ascii="Arial" w:cs="Arial" w:eastAsia="Arial" w:hAnsi="Arial"/>
          <w:b w:val="false"/>
          <w:bCs w:val="false"/>
          <w:i w:val="false"/>
          <w:iCs w:val="false"/>
          <w:color w:val="1A1A1A"/>
          <w:sz w:val="21"/>
          <w:szCs w:val="21"/>
        </w:rPr>
        <w:t xml:space="preserve">Structured or semi-structured opinion from a credentialed practitioner — a panel engineer, a forensic expert, an insurer underwriter, an OEM lead. Documented in the form of who said what, when, and under what question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Aspect</w:t>
            </w:r>
          </w:p>
        </w:tc>
        <w:tc>
          <w:tcPr>
            <w:tcW w:type="dxa" w:w="7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Detail</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Typical tier</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T4 unless explicitly elevated by a structured elicitation protocol (e.g. SHELF or Cooke), in which case T3 with the protocol cited.</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Strengths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Available when nothing else is; can bridge an evidence gap so the curve exists at all; useful for selector short-listing.</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 modes</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Recency bias; question-framing bias; overconfidence; no way to replicate.</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What to extract</w:t>
            </w:r>
          </w:p>
        </w:tc>
        <w:tc>
          <w:tcPr>
            <w:tcW w:type="dxa" w:w="7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Provisional curve, selector candidates, conditioner candidates, and a backlog item that names what would convert this T4 input into a T1/T2 input.</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4. Source-to-parameter mapping</w:t>
      </w:r>
    </w:p>
    <w:p>
      <w:pPr>
        <w:spacing w:after="140" w:line="300"/>
      </w:pPr>
      <w:r>
        <w:rPr>
          <w:rFonts w:ascii="Arial" w:cs="Arial" w:eastAsia="Arial" w:hAnsi="Arial"/>
          <w:b w:val="false"/>
          <w:bCs w:val="false"/>
          <w:i w:val="false"/>
          <w:iCs w:val="false"/>
          <w:color w:val="1A1A1A"/>
          <w:sz w:val="21"/>
          <w:szCs w:val="21"/>
        </w:rPr>
        <w:t xml:space="preserve">A damage curve is a small number of parameters. The point of the source-to-parameter mapping is to make explicit, for every parameter in every curve, </w:t>
      </w:r>
      <w:r>
        <w:rPr>
          <w:rFonts w:ascii="Arial" w:cs="Arial" w:eastAsia="Arial" w:hAnsi="Arial"/>
          <w:b/>
          <w:bCs/>
          <w:i w:val="false"/>
          <w:iCs w:val="false"/>
          <w:color w:val="1A1A1A"/>
          <w:sz w:val="21"/>
          <w:szCs w:val="21"/>
        </w:rPr>
        <w:t xml:space="preserve">which artifact authorized this value and to what tier.</w:t>
      </w:r>
      <w:r>
        <w:rPr>
          <w:rFonts w:ascii="Arial" w:cs="Arial" w:eastAsia="Arial" w:hAnsi="Arial"/>
          <w:b w:val="false"/>
          <w:bCs w:val="false"/>
          <w:i w:val="false"/>
          <w:iCs w:val="false"/>
          <w:color w:val="1A1A1A"/>
          <w:sz w:val="21"/>
          <w:szCs w:val="21"/>
        </w:rPr>
        <w:t xml:space="preserve"> If you cannot answer that question for a parameter, the parameter is not honest and the dossier is incomplete.</w:t>
      </w:r>
    </w:p>
    <w:p>
      <w:pPr>
        <w:pStyle w:val="Heading2"/>
        <w:spacing w:after="140" w:before="320"/>
      </w:pPr>
      <w:r>
        <w:rPr>
          <w:rFonts w:ascii="Arial" w:cs="Arial" w:eastAsia="Arial" w:hAnsi="Arial"/>
          <w:b/>
          <w:bCs/>
          <w:color w:val="1A1A1A"/>
          <w:sz w:val="26"/>
          <w:szCs w:val="26"/>
        </w:rPr>
        <w:t xml:space="preserve">The parameters that need mapping</w:t>
      </w:r>
    </w:p>
    <w:p>
      <w:pPr>
        <w:spacing w:after="140" w:line="300"/>
      </w:pPr>
      <w:r>
        <w:rPr>
          <w:rFonts w:ascii="Arial" w:cs="Arial" w:eastAsia="Arial" w:hAnsi="Arial"/>
          <w:b w:val="false"/>
          <w:bCs w:val="false"/>
          <w:i w:val="false"/>
          <w:iCs w:val="false"/>
          <w:color w:val="1A1A1A"/>
          <w:sz w:val="21"/>
          <w:szCs w:val="21"/>
        </w:rPr>
        <w:t xml:space="preserve">For a logistic curve — the default form — five parameters need attribution. They fall into three groups by nature, and the group sets which evidence is appropriate. </w:t>
      </w:r>
      <w:r>
        <w:rPr>
          <w:rFonts w:ascii="Arial" w:cs="Arial" w:eastAsia="Arial" w:hAnsi="Arial"/>
          <w:b/>
          <w:bCs/>
          <w:color w:val="1A1A1A"/>
          <w:sz w:val="21"/>
          <w:szCs w:val="21"/>
        </w:rPr>
        <w:t xml:space="preserve">Boundary / form-agnostic parameters</w:t>
      </w:r>
      <w:r>
        <w:rPr>
          <w:rFonts w:ascii="Arial" w:cs="Arial" w:eastAsia="Arial" w:hAnsi="Arial"/>
          <w:color w:val="1A1A1A"/>
          <w:sz w:val="21"/>
          <w:szCs w:val="21"/>
        </w:rPr>
        <w:t xml:space="preserve"> — the saturation cap L and the onset threshold — belong to any curve whatever its form, and are typically set by standards (T2). </w:t>
      </w:r>
      <w:r>
        <w:rPr>
          <w:rFonts w:ascii="Arial" w:cs="Arial" w:eastAsia="Arial" w:hAnsi="Arial"/>
          <w:b/>
          <w:bCs/>
          <w:color w:val="1A1A1A"/>
          <w:sz w:val="21"/>
          <w:szCs w:val="21"/>
        </w:rPr>
        <w:t xml:space="preserve">Curve-fit parameters</w:t>
      </w:r>
      <w:r>
        <w:rPr>
          <w:rFonts w:ascii="Arial" w:cs="Arial" w:eastAsia="Arial" w:hAnsi="Arial"/>
          <w:color w:val="1A1A1A"/>
          <w:sz w:val="21"/>
          <w:szCs w:val="21"/>
        </w:rPr>
        <w:t xml:space="preserve"> — the steepness k and the midpoint x₀ — are specific to the logistic and want anchor-point evidence (T1). </w:t>
      </w:r>
      <w:r>
        <w:rPr>
          <w:rFonts w:ascii="Arial" w:cs="Arial" w:eastAsia="Arial" w:hAnsi="Arial"/>
          <w:b/>
          <w:bCs/>
          <w:color w:val="1A1A1A"/>
          <w:sz w:val="21"/>
          <w:szCs w:val="21"/>
        </w:rPr>
        <w:t xml:space="preserve">Adjustment parameters</w:t>
      </w:r>
      <w:r>
        <w:rPr>
          <w:rFonts w:ascii="Arial" w:cs="Arial" w:eastAsia="Arial" w:hAnsi="Arial"/>
          <w:color w:val="1A1A1A"/>
          <w:sz w:val="21"/>
          <w:szCs w:val="21"/>
        </w:rPr>
        <w:t xml:space="preserve"> — conditioner multipliers — want paired observations (with and without the state). Grouping the table this way stops a flat list from reading as one homogeneous fit. For piecewise, state-based, or PCHIP curves the curve-fit parameters change but the boundary and adjustment groups, and the discipline, are identical: every degree of freedom gets 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Parameter</w:t>
            </w:r>
          </w:p>
        </w:tc>
        <w:tc>
          <w:tcPr>
            <w:tcW w:type="dxa" w:w="23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is</w:t>
            </w:r>
          </w:p>
        </w:tc>
        <w:tc>
          <w:tcPr>
            <w:tcW w:type="dxa" w:w="5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Typical evidence map</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 (saturation cap)</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asymptotic damage ratio as intensity → ∞.</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T2 (capacity ratio from standard) primary; T1 (forensic upper-tail observation) corroborating. Rarely T3.</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k (steepness)</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How sharply damage transitions from low to high.</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 (anchor points spanning the inflection) primary; T2 (standard’s threshold-to-failure ratio) cross-check; T3 acceptable with explicit shape note.</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x₀ (midpoint intensity)</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Intensity at which damage = L/2.</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 (anchors near the midpoint) primary; T2 (standard’s damage-onset + capacity → derived midpoint) acceptable when T1 anchors absent.</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x_threshold (onset)</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Intensity below which damage is taken as zero (anchoring).</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T2 (standard’s onset threshold) primary; T1 (lowest-intensity observation with non-zero damage) corroborating.</w:t>
            </w:r>
          </w:p>
        </w:tc>
      </w:tr>
      <w:tr>
        <w:trPr>
          <w:tblHeader w:val="false"/>
        </w:trP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conditioner multiplier</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How an event-time state (stow, wind direction, debris) shifts (k, x₀).</w:t>
            </w:r>
          </w:p>
        </w:tc>
        <w:tc>
          <w:tcPr>
            <w:tcW w:type="dxa" w:w="5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 (paired observations with and without the state) primary; T4 (expert) when no paired observations exist — backlog flag mandatory.</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The mapping table — the artifact every curve writes</w:t>
      </w:r>
    </w:p>
    <w:p>
      <w:pPr>
        <w:spacing w:after="140" w:line="300"/>
      </w:pPr>
      <w:r>
        <w:rPr>
          <w:rFonts w:ascii="Arial" w:cs="Arial" w:eastAsia="Arial" w:hAnsi="Arial"/>
          <w:b w:val="false"/>
          <w:bCs w:val="false"/>
          <w:i w:val="false"/>
          <w:iCs w:val="false"/>
          <w:color w:val="1A1A1A"/>
          <w:sz w:val="21"/>
          <w:szCs w:val="21"/>
        </w:rPr>
        <w:t xml:space="preserve">Each cell’s dossier carries a source-to-parameter mapping table. The schema, with illustrative values: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000"/>
        <w:gridCol w:w="5300"/>
      </w:tblGrid>
      <w:tr>
        <w:trPr>
          <w:tblHeader/>
        </w:trPr>
        <w:tc>
          <w:tcPr>
            <w:tcW w:type="dxa" w:w="1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Parameter</w:t>
            </w:r>
          </w:p>
        </w:tc>
        <w:tc>
          <w:tcPr>
            <w:tcW w:type="dxa" w:w="13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Value</w:t>
            </w:r>
          </w:p>
        </w:tc>
        <w:tc>
          <w:tcPr>
            <w:tcW w:type="dxa" w:w="1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Tier</w:t>
            </w:r>
          </w:p>
        </w:tc>
        <w:tc>
          <w:tcPr>
            <w:tcW w:type="dxa" w:w="53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Source</w:t>
            </w:r>
          </w:p>
        </w:tc>
      </w:tr>
      <w:t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L</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0.85</w:t>
            </w:r>
          </w:p>
        </w:tc>
        <w:tc>
          <w:tcPr>
            <w:tcW w:type="dxa" w:w="1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T2</w:t>
            </w:r>
          </w:p>
        </w:tc>
        <w:tc>
          <w:tcPr>
            <w:tcW w:type="dxa" w:w="5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color w:val="1A1A1A"/>
                <w:sz w:val="19"/>
                <w:szCs w:val="19"/>
              </w:rPr>
              <w:t xml:space="preserve">solar-impact spec + mechanical-load standard</w:t>
            </w:r>
          </w:p>
        </w:tc>
      </w:tr>
      <w:t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k</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0.062</w:t>
            </w:r>
          </w:p>
        </w:tc>
        <w:tc>
          <w:tcPr>
            <w:tcW w:type="dxa" w:w="1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T1</w:t>
            </w:r>
          </w:p>
        </w:tc>
        <w:tc>
          <w:tcPr>
            <w:tcW w:type="dxa" w:w="5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color w:val="1A1A1A"/>
                <w:sz w:val="19"/>
                <w:szCs w:val="19"/>
              </w:rPr>
              <w:t xml:space="preserve">panel hail-impact study (k fit to its anchors)</w:t>
            </w:r>
          </w:p>
        </w:tc>
      </w:tr>
      <w:t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x₀</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46 mm</w:t>
            </w:r>
          </w:p>
        </w:tc>
        <w:tc>
          <w:tcPr>
            <w:tcW w:type="dxa" w:w="1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T1</w:t>
            </w:r>
          </w:p>
        </w:tc>
        <w:tc>
          <w:tcPr>
            <w:tcW w:type="dxa" w:w="5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color w:val="1A1A1A"/>
                <w:sz w:val="19"/>
                <w:szCs w:val="19"/>
              </w:rPr>
              <w:t xml:space="preserve">panel hail-impact study, midpoint of fit</w:t>
            </w:r>
          </w:p>
        </w:tc>
      </w:tr>
      <w:t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x_thresh</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25 mm</w:t>
            </w:r>
          </w:p>
        </w:tc>
        <w:tc>
          <w:tcPr>
            <w:tcW w:type="dxa" w:w="1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T2</w:t>
            </w:r>
          </w:p>
        </w:tc>
        <w:tc>
          <w:tcPr>
            <w:tcW w:type="dxa" w:w="5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color w:val="1A1A1A"/>
                <w:sz w:val="19"/>
                <w:szCs w:val="19"/>
              </w:rPr>
              <w:t xml:space="preserve">solar-impact spec, onset threshold</w:t>
            </w:r>
          </w:p>
        </w:tc>
      </w:tr>
      <w:tr>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cond_stow</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−0.15 k</w:t>
            </w:r>
          </w:p>
        </w:tc>
        <w:tc>
          <w:tcPr>
            <w:tcW w:type="dxa" w:w="1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40"/>
            </w:pPr>
            <w:r>
              <w:rPr>
                <w:rFonts w:ascii="Consolas" w:cs="Consolas" w:eastAsia="Consolas" w:hAnsi="Consolas"/>
                <w:color w:val="1A1A1A"/>
                <w:sz w:val="18"/>
                <w:szCs w:val="18"/>
              </w:rPr>
              <w:t xml:space="preserve">T4</w:t>
            </w:r>
          </w:p>
        </w:tc>
        <w:tc>
          <w:tcPr>
            <w:tcW w:type="dxa" w:w="5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color w:val="1A1A1A"/>
                <w:sz w:val="19"/>
                <w:szCs w:val="19"/>
              </w:rPr>
              <w:t xml:space="preserve">vendor engineering note;  BACKLOG: paired field data</w:t>
            </w:r>
          </w:p>
        </w:tc>
      </w:tr>
    </w:tbl>
    <w:p>
      <w:pPr>
        <w:spacing w:after="200"/>
      </w:pPr>
      <w:r>
        <w:t xml:space="preserve"/>
      </w:r>
    </w:p>
    <w:p>
      <w:pPr>
        <w:spacing w:after="140" w:line="300"/>
      </w:pPr>
      <w:r>
        <w:rPr>
          <w:rFonts w:ascii="Arial" w:cs="Arial" w:eastAsia="Arial" w:hAnsi="Arial"/>
          <w:b w:val="false"/>
          <w:bCs w:val="false"/>
          <w:i w:val="false"/>
          <w:iCs w:val="false"/>
          <w:color w:val="1A1A1A"/>
          <w:sz w:val="21"/>
          <w:szCs w:val="21"/>
        </w:rPr>
        <w:t xml:space="preserve">Three properties of the table that matter:</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Every parameter row has a tier. </w:t>
      </w:r>
      <w:r>
        <w:rPr>
          <w:rFonts w:ascii="Arial" w:cs="Arial" w:eastAsia="Arial" w:hAnsi="Arial"/>
          <w:b w:val="false"/>
          <w:bCs w:val="false"/>
          <w:i w:val="false"/>
          <w:iCs w:val="false"/>
          <w:color w:val="1A1A1A"/>
          <w:sz w:val="21"/>
          <w:szCs w:val="21"/>
        </w:rPr>
        <w:t xml:space="preserve">No exceptions. If a parameter has no tier, the parameter is not in the curve.</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The source column names an artifact, not a folder. </w:t>
      </w:r>
      <w:r>
        <w:rPr>
          <w:rFonts w:ascii="Arial" w:cs="Arial" w:eastAsia="Arial" w:hAnsi="Arial"/>
          <w:b w:val="false"/>
          <w:bCs w:val="false"/>
          <w:i w:val="false"/>
          <w:iCs w:val="false"/>
          <w:color w:val="1A1A1A"/>
          <w:sz w:val="21"/>
          <w:szCs w:val="21"/>
        </w:rPr>
        <w:t xml:space="preserve">A line that reads "engineering judgment" or "internal" is not a source. A line that reads "vendor engineering note, file X.pdf, §4.2" is.</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T4 rows must carry a backlog item. </w:t>
      </w:r>
      <w:r>
        <w:rPr>
          <w:rFonts w:ascii="Arial" w:cs="Arial" w:eastAsia="Arial" w:hAnsi="Arial"/>
          <w:b w:val="false"/>
          <w:bCs w:val="false"/>
          <w:i w:val="false"/>
          <w:iCs w:val="false"/>
          <w:color w:val="1A1A1A"/>
          <w:sz w:val="21"/>
          <w:szCs w:val="21"/>
        </w:rPr>
        <w:t xml:space="preserve">The backlog names the evidence that would promote this row out of T4. If no such evidence is conceivable, the curve is asserting something it does not know — flag and downgrade the capability declaration accordingly.</w:t>
      </w:r>
    </w:p>
    <w:p>
      <w:pPr>
        <w:spacing w:after="200"/>
      </w:pPr>
      <w:r>
        <w:t xml:space="preserve"/>
      </w:r>
    </w:p>
    <w:p>
      <w:pPr>
        <w:pStyle w:val="Heading1"/>
        <w:spacing w:after="200" w:before="480"/>
      </w:pPr>
      <w:r>
        <w:rPr>
          <w:rFonts w:ascii="Arial" w:cs="Arial" w:eastAsia="Arial" w:hAnsi="Arial"/>
          <w:b/>
          <w:bCs/>
          <w:color w:val="1A1A1A"/>
          <w:sz w:val="40"/>
          <w:szCs w:val="40"/>
        </w:rPr>
        <w:t xml:space="preserve">5. Provenance and source-context</w:t>
      </w:r>
    </w:p>
    <w:p>
      <w:pPr>
        <w:spacing w:after="140" w:line="300"/>
      </w:pPr>
      <w:r>
        <w:rPr>
          <w:rFonts w:ascii="Arial" w:cs="Arial" w:eastAsia="Arial" w:hAnsi="Arial"/>
          <w:b w:val="false"/>
          <w:bCs w:val="false"/>
          <w:i w:val="false"/>
          <w:iCs w:val="false"/>
          <w:color w:val="1A1A1A"/>
          <w:sz w:val="21"/>
          <w:szCs w:val="21"/>
        </w:rPr>
        <w:t xml:space="preserve">Provenance is the operational counterpart of tier. Tier is the </w:t>
      </w:r>
      <w:r>
        <w:rPr>
          <w:rFonts w:ascii="Arial" w:cs="Arial" w:eastAsia="Arial" w:hAnsi="Arial"/>
          <w:b/>
          <w:bCs/>
          <w:i w:val="false"/>
          <w:iCs w:val="false"/>
          <w:color w:val="1A1A1A"/>
          <w:sz w:val="21"/>
          <w:szCs w:val="21"/>
        </w:rPr>
        <w:t xml:space="preserve">grade</w:t>
      </w:r>
      <w:r>
        <w:rPr>
          <w:rFonts w:ascii="Arial" w:cs="Arial" w:eastAsia="Arial" w:hAnsi="Arial"/>
          <w:b w:val="false"/>
          <w:bCs w:val="false"/>
          <w:i w:val="false"/>
          <w:iCs w:val="false"/>
          <w:color w:val="1A1A1A"/>
          <w:sz w:val="21"/>
          <w:szCs w:val="21"/>
        </w:rPr>
        <w:t xml:space="preserve"> an artifact carries; provenance is the </w:t>
      </w:r>
      <w:r>
        <w:rPr>
          <w:rFonts w:ascii="Arial" w:cs="Arial" w:eastAsia="Arial" w:hAnsi="Arial"/>
          <w:b/>
          <w:bCs/>
          <w:i w:val="false"/>
          <w:iCs w:val="false"/>
          <w:color w:val="1A1A1A"/>
          <w:sz w:val="21"/>
          <w:szCs w:val="21"/>
        </w:rPr>
        <w:t xml:space="preserve">chain of custody</w:t>
      </w:r>
      <w:r>
        <w:rPr>
          <w:rFonts w:ascii="Arial" w:cs="Arial" w:eastAsia="Arial" w:hAnsi="Arial"/>
          <w:b w:val="false"/>
          <w:bCs w:val="false"/>
          <w:i w:val="false"/>
          <w:iCs w:val="false"/>
          <w:color w:val="1A1A1A"/>
          <w:sz w:val="21"/>
          <w:szCs w:val="21"/>
        </w:rPr>
        <w:t xml:space="preserve"> that makes the grade auditable. A curve without provenance can claim a tier; it cannot defend the claim.</w:t>
      </w:r>
    </w:p>
    <w:p>
      <w:pPr>
        <w:pStyle w:val="Heading2"/>
        <w:spacing w:after="140" w:before="320"/>
      </w:pPr>
      <w:r>
        <w:rPr>
          <w:rFonts w:ascii="Arial" w:cs="Arial" w:eastAsia="Arial" w:hAnsi="Arial"/>
          <w:b/>
          <w:bCs/>
          <w:color w:val="1A1A1A"/>
          <w:sz w:val="26"/>
          <w:szCs w:val="26"/>
        </w:rPr>
        <w:t xml:space="preserve">What provenance has to do</w:t>
      </w:r>
    </w:p>
    <w:p>
      <w:pPr>
        <w:spacing w:after="140" w:line="300"/>
      </w:pPr>
      <w:r>
        <w:rPr>
          <w:rFonts w:ascii="Arial" w:cs="Arial" w:eastAsia="Arial" w:hAnsi="Arial"/>
          <w:b w:val="false"/>
          <w:bCs w:val="false"/>
          <w:i w:val="false"/>
          <w:iCs w:val="false"/>
          <w:color w:val="1A1A1A"/>
          <w:sz w:val="21"/>
          <w:szCs w:val="21"/>
        </w:rPr>
        <w:t xml:space="preserve">For every parameter in every curve, a reviewer should be able to:</w:t>
      </w:r>
    </w:p>
    <w:p>
      <w:pPr>
        <w:spacing w:after="100" w:line="280"/>
        <w:ind w:left="540" w:hanging="360"/>
      </w:pPr>
      <w:r>
        <w:rPr>
          <w:rFonts w:ascii="Arial" w:cs="Arial" w:eastAsia="Arial" w:hAnsi="Arial"/>
          <w:b/>
          <w:bCs/>
          <w:color w:val="1A1A1A"/>
          <w:sz w:val="21"/>
          <w:szCs w:val="21"/>
        </w:rPr>
        <w:t xml:space="preserve">1. </w:t>
      </w:r>
      <w:r>
        <w:rPr>
          <w:rFonts w:ascii="Arial" w:cs="Arial" w:eastAsia="Arial" w:hAnsi="Arial"/>
          <w:b/>
          <w:bCs/>
          <w:i w:val="false"/>
          <w:iCs w:val="false"/>
          <w:color w:val="1A1A1A"/>
          <w:sz w:val="21"/>
          <w:szCs w:val="21"/>
        </w:rPr>
        <w:t xml:space="preserve">Locate the source artifact</w:t>
      </w:r>
      <w:r>
        <w:rPr>
          <w:rFonts w:ascii="Arial" w:cs="Arial" w:eastAsia="Arial" w:hAnsi="Arial"/>
          <w:b w:val="false"/>
          <w:bCs w:val="false"/>
          <w:i w:val="false"/>
          <w:iCs w:val="false"/>
          <w:color w:val="1A1A1A"/>
          <w:sz w:val="21"/>
          <w:szCs w:val="21"/>
        </w:rPr>
        <w:t xml:space="preserve"> — a paper PDF, a standard excerpt, a test report, a claims summary — in the cell’s source-context folder.</w:t>
      </w:r>
    </w:p>
    <w:p>
      <w:pPr>
        <w:spacing w:after="100" w:line="280"/>
        <w:ind w:left="540" w:hanging="360"/>
      </w:pPr>
      <w:r>
        <w:rPr>
          <w:rFonts w:ascii="Arial" w:cs="Arial" w:eastAsia="Arial" w:hAnsi="Arial"/>
          <w:b/>
          <w:bCs/>
          <w:color w:val="1A1A1A"/>
          <w:sz w:val="21"/>
          <w:szCs w:val="21"/>
        </w:rPr>
        <w:t xml:space="preserve">2. </w:t>
      </w:r>
      <w:r>
        <w:rPr>
          <w:rFonts w:ascii="Arial" w:cs="Arial" w:eastAsia="Arial" w:hAnsi="Arial"/>
          <w:b/>
          <w:bCs/>
          <w:i w:val="false"/>
          <w:iCs w:val="false"/>
          <w:color w:val="1A1A1A"/>
          <w:sz w:val="21"/>
          <w:szCs w:val="21"/>
        </w:rPr>
        <w:t xml:space="preserve">Read the specific passage</w:t>
      </w:r>
      <w:r>
        <w:rPr>
          <w:rFonts w:ascii="Arial" w:cs="Arial" w:eastAsia="Arial" w:hAnsi="Arial"/>
          <w:b w:val="false"/>
          <w:bCs w:val="false"/>
          <w:i w:val="false"/>
          <w:iCs w:val="false"/>
          <w:color w:val="1A1A1A"/>
          <w:sz w:val="21"/>
          <w:szCs w:val="21"/>
        </w:rPr>
        <w:t xml:space="preserve"> — equation, table, paragraph — that the parameter is attributed to.</w:t>
      </w:r>
    </w:p>
    <w:p>
      <w:pPr>
        <w:spacing w:after="100" w:line="280"/>
        <w:ind w:left="540" w:hanging="360"/>
      </w:pPr>
      <w:r>
        <w:rPr>
          <w:rFonts w:ascii="Arial" w:cs="Arial" w:eastAsia="Arial" w:hAnsi="Arial"/>
          <w:b/>
          <w:bCs/>
          <w:color w:val="1A1A1A"/>
          <w:sz w:val="21"/>
          <w:szCs w:val="21"/>
        </w:rPr>
        <w:t xml:space="preserve">3. </w:t>
      </w:r>
      <w:r>
        <w:rPr>
          <w:rFonts w:ascii="Arial" w:cs="Arial" w:eastAsia="Arial" w:hAnsi="Arial"/>
          <w:b/>
          <w:bCs/>
          <w:i w:val="false"/>
          <w:iCs w:val="false"/>
          <w:color w:val="1A1A1A"/>
          <w:sz w:val="21"/>
          <w:szCs w:val="21"/>
        </w:rPr>
        <w:t xml:space="preserve">Reconstruct the conversion</w:t>
      </w:r>
      <w:r>
        <w:rPr>
          <w:rFonts w:ascii="Arial" w:cs="Arial" w:eastAsia="Arial" w:hAnsi="Arial"/>
          <w:b w:val="false"/>
          <w:bCs w:val="false"/>
          <w:i w:val="false"/>
          <w:iCs w:val="false"/>
          <w:color w:val="1A1A1A"/>
          <w:sz w:val="21"/>
          <w:szCs w:val="21"/>
        </w:rPr>
        <w:t xml:space="preserve"> from the artifact’s value to the curve’s parameter (e.g. converting a standard’s "shall withstand X" capacity into the curve’s saturation cap).</w:t>
      </w:r>
    </w:p>
    <w:p>
      <w:pPr>
        <w:spacing w:after="100" w:line="280"/>
        <w:ind w:left="540" w:hanging="360"/>
      </w:pPr>
      <w:r>
        <w:rPr>
          <w:rFonts w:ascii="Arial" w:cs="Arial" w:eastAsia="Arial" w:hAnsi="Arial"/>
          <w:b/>
          <w:bCs/>
          <w:color w:val="1A1A1A"/>
          <w:sz w:val="21"/>
          <w:szCs w:val="21"/>
        </w:rPr>
        <w:t xml:space="preserve">4. </w:t>
      </w:r>
      <w:r>
        <w:rPr>
          <w:rFonts w:ascii="Arial" w:cs="Arial" w:eastAsia="Arial" w:hAnsi="Arial"/>
          <w:b/>
          <w:bCs/>
          <w:i w:val="false"/>
          <w:iCs w:val="false"/>
          <w:color w:val="1A1A1A"/>
          <w:sz w:val="21"/>
          <w:szCs w:val="21"/>
        </w:rPr>
        <w:t xml:space="preserve">Re-tier the parameter</w:t>
      </w:r>
      <w:r>
        <w:rPr>
          <w:rFonts w:ascii="Arial" w:cs="Arial" w:eastAsia="Arial" w:hAnsi="Arial"/>
          <w:b w:val="false"/>
          <w:bCs w:val="false"/>
          <w:i w:val="false"/>
          <w:iCs w:val="false"/>
          <w:color w:val="1A1A1A"/>
          <w:sz w:val="21"/>
          <w:szCs w:val="21"/>
        </w:rPr>
        <w:t xml:space="preserve"> if the artifact looks weaker than the dossier claims (a paper with n=2 specimens, or a standard whose scope excludes the asset variant).</w:t>
      </w:r>
    </w:p>
    <w:p>
      <w:pPr>
        <w:spacing w:after="100" w:line="280"/>
        <w:ind w:left="540" w:hanging="360"/>
      </w:pPr>
      <w:r>
        <w:rPr>
          <w:rFonts w:ascii="Arial" w:cs="Arial" w:eastAsia="Arial" w:hAnsi="Arial"/>
          <w:b/>
          <w:bCs/>
          <w:color w:val="1A1A1A"/>
          <w:sz w:val="21"/>
          <w:szCs w:val="21"/>
        </w:rPr>
        <w:t xml:space="preserve">5. </w:t>
      </w:r>
      <w:r>
        <w:rPr>
          <w:rFonts w:ascii="Arial" w:cs="Arial" w:eastAsia="Arial" w:hAnsi="Arial"/>
          <w:b/>
          <w:bCs/>
          <w:i w:val="false"/>
          <w:iCs w:val="false"/>
          <w:color w:val="1A1A1A"/>
          <w:sz w:val="21"/>
          <w:szCs w:val="21"/>
        </w:rPr>
        <w:t xml:space="preserve">Trace the lineage</w:t>
      </w:r>
      <w:r>
        <w:rPr>
          <w:rFonts w:ascii="Arial" w:cs="Arial" w:eastAsia="Arial" w:hAnsi="Arial"/>
          <w:b w:val="false"/>
          <w:bCs w:val="false"/>
          <w:i w:val="false"/>
          <w:iCs w:val="false"/>
          <w:color w:val="1A1A1A"/>
          <w:sz w:val="21"/>
          <w:szCs w:val="21"/>
        </w:rPr>
        <w:t xml:space="preserve"> of the artifact itself — who produced it, when, with what specimen — and judge whether it is up to the claim.</w:t>
      </w:r>
    </w:p>
    <w:p>
      <w:pPr>
        <w:pStyle w:val="Heading2"/>
        <w:spacing w:after="140" w:before="320"/>
      </w:pPr>
      <w:r>
        <w:rPr>
          <w:rFonts w:ascii="Arial" w:cs="Arial" w:eastAsia="Arial" w:hAnsi="Arial"/>
          <w:b/>
          <w:bCs/>
          <w:color w:val="1A1A1A"/>
          <w:sz w:val="26"/>
          <w:szCs w:val="26"/>
        </w:rPr>
        <w:t xml:space="preserve">The source-context folder convention</w:t>
      </w:r>
    </w:p>
    <w:p>
      <w:pPr>
        <w:spacing w:after="140" w:line="300"/>
      </w:pPr>
      <w:r>
        <w:rPr>
          <w:rFonts w:ascii="Arial" w:cs="Arial" w:eastAsia="Arial" w:hAnsi="Arial"/>
          <w:b w:val="false"/>
          <w:bCs w:val="false"/>
          <w:i w:val="false"/>
          <w:iCs w:val="false"/>
          <w:color w:val="1A1A1A"/>
          <w:sz w:val="21"/>
          <w:szCs w:val="21"/>
        </w:rPr>
        <w:t xml:space="preserve">Every cell carries a flat folder of source artifacts, plus an index that maps each artifact to the parameter rows that cite it. The folder is the durable record; the index is the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cell/&lt;hazard&gt;_x_&lt;asset&gt;/</w:t>
            </w:r>
          </w:p>
          <w:p>
            <w:pPr>
              <w:spacing w:after="0" w:before="0" w:line="240"/>
            </w:pPr>
            <w:r>
              <w:rPr>
                <w:rFonts w:ascii="Consolas" w:cs="Consolas" w:eastAsia="Consolas" w:hAnsi="Consolas"/>
                <w:color w:val="1A1A1A"/>
                <w:sz w:val="17"/>
                <w:szCs w:val="17"/>
              </w:rPr>
              <w:t xml:space="preserve">   ├── README.md                   ── what this cell is, version pin, capability decl</w:t>
            </w:r>
          </w:p>
          <w:p>
            <w:pPr>
              <w:spacing w:after="0" w:before="0" w:line="240"/>
            </w:pPr>
            <w:r>
              <w:rPr>
                <w:rFonts w:ascii="Consolas" w:cs="Consolas" w:eastAsia="Consolas" w:hAnsi="Consolas"/>
                <w:color w:val="1A1A1A"/>
                <w:sz w:val="17"/>
                <w:szCs w:val="17"/>
              </w:rPr>
              <w:t xml:space="preserve">   ├── source_to_parameter.md      ── the mapping table (§4 schema)</w:t>
            </w:r>
          </w:p>
          <w:p>
            <w:pPr>
              <w:spacing w:after="0" w:before="0" w:line="240"/>
            </w:pPr>
            <w:r>
              <w:rPr>
                <w:rFonts w:ascii="Consolas" w:cs="Consolas" w:eastAsia="Consolas" w:hAnsi="Consolas"/>
                <w:color w:val="1A1A1A"/>
                <w:sz w:val="17"/>
                <w:szCs w:val="17"/>
              </w:rPr>
              <w:t xml:space="preserve">   ├── source_context/</w:t>
            </w:r>
          </w:p>
          <w:p>
            <w:pPr>
              <w:spacing w:after="0" w:before="0" w:line="240"/>
            </w:pPr>
            <w:r>
              <w:rPr>
                <w:rFonts w:ascii="Consolas" w:cs="Consolas" w:eastAsia="Consolas" w:hAnsi="Consolas"/>
                <w:color w:val="1A1A1A"/>
                <w:sz w:val="17"/>
                <w:szCs w:val="17"/>
              </w:rPr>
              <w:t xml:space="preserve">   │   ├── INDEX.md                ── artifact ↔ parameter cross-reference</w:t>
            </w:r>
          </w:p>
          <w:p>
            <w:pPr>
              <w:spacing w:after="0" w:before="0" w:line="240"/>
            </w:pPr>
            <w:r>
              <w:rPr>
                <w:rFonts w:ascii="Consolas" w:cs="Consolas" w:eastAsia="Consolas" w:hAnsi="Consolas"/>
                <w:color w:val="1A1A1A"/>
                <w:sz w:val="17"/>
                <w:szCs w:val="17"/>
              </w:rPr>
              <w:t xml:space="preserve">   │   ├── schmid_2024_panel.pdf   ── T1 paper, parameters k and x_0</w:t>
            </w:r>
          </w:p>
          <w:p>
            <w:pPr>
              <w:spacing w:after="0" w:before="0" w:line="240"/>
            </w:pPr>
            <w:r>
              <w:rPr>
                <w:rFonts w:ascii="Consolas" w:cs="Consolas" w:eastAsia="Consolas" w:hAnsi="Consolas"/>
                <w:color w:val="1A1A1A"/>
                <w:sz w:val="17"/>
                <w:szCs w:val="17"/>
              </w:rPr>
              <w:t xml:space="preserve">   │   ├── ibhs_solar_spec_2023.pdf── T2 standard, L and x_thresh</w:t>
            </w:r>
          </w:p>
          <w:p>
            <w:pPr>
              <w:spacing w:after="0" w:before="0" w:line="240"/>
            </w:pPr>
            <w:r>
              <w:rPr>
                <w:rFonts w:ascii="Consolas" w:cs="Consolas" w:eastAsia="Consolas" w:hAnsi="Consolas"/>
                <w:color w:val="1A1A1A"/>
                <w:sz w:val="17"/>
                <w:szCs w:val="17"/>
              </w:rPr>
              <w:t xml:space="preserve">   │   ├── iec_61215_extract.pdf   ── T2 standard, L corroboration</w:t>
            </w:r>
          </w:p>
          <w:p>
            <w:pPr>
              <w:spacing w:after="0" w:before="0" w:line="240"/>
            </w:pPr>
            <w:r>
              <w:rPr>
                <w:rFonts w:ascii="Consolas" w:cs="Consolas" w:eastAsia="Consolas" w:hAnsi="Consolas"/>
                <w:color w:val="1A1A1A"/>
                <w:sz w:val="17"/>
                <w:szCs w:val="17"/>
              </w:rPr>
              <w:t xml:space="preserve">   │   ├── vendor_note_2024Q3.pdf  ── T4 elicitation, cond_stow</w:t>
            </w:r>
          </w:p>
          <w:p>
            <w:pPr>
              <w:spacing w:after="0" w:before="0" w:line="240"/>
            </w:pPr>
            <w:r>
              <w:rPr>
                <w:rFonts w:ascii="Consolas" w:cs="Consolas" w:eastAsia="Consolas" w:hAnsi="Consolas"/>
                <w:color w:val="1A1A1A"/>
                <w:sz w:val="17"/>
                <w:szCs w:val="17"/>
              </w:rPr>
              <w:t xml:space="preserve">   │   └── nri_calibration_check.md── T2 cross-check, validation only</w:t>
            </w:r>
          </w:p>
          <w:p>
            <w:pPr>
              <w:spacing w:after="0" w:before="0" w:line="240"/>
            </w:pPr>
            <w:r>
              <w:rPr>
                <w:rFonts w:ascii="Consolas" w:cs="Consolas" w:eastAsia="Consolas" w:hAnsi="Consolas"/>
                <w:color w:val="1A1A1A"/>
                <w:sz w:val="17"/>
                <w:szCs w:val="17"/>
              </w:rPr>
              <w:t xml:space="preserve">   ├── dossier.md                  ── narrative: what each tier authorizes</w:t>
            </w:r>
          </w:p>
          <w:p>
            <w:pPr>
              <w:spacing w:after="0" w:before="0" w:line="240"/>
            </w:pPr>
            <w:r>
              <w:rPr>
                <w:rFonts w:ascii="Consolas" w:cs="Consolas" w:eastAsia="Consolas" w:hAnsi="Consolas"/>
                <w:color w:val="1A1A1A"/>
                <w:sz w:val="17"/>
                <w:szCs w:val="17"/>
              </w:rPr>
              <w:t xml:space="preserve">   └── workbook.ipynb              ── reproducible derivation from anchors to params</w:t>
            </w:r>
          </w:p>
          <w:p>
            <w:pPr>
              <w:spacing w:after="0" w:before="0" w:line="240"/>
            </w:pPr>
            <w:r>
              <w:rPr>
                <w:rFonts w:ascii="Consolas" w:cs="Consolas" w:eastAsia="Consolas" w:hAnsi="Consolas"/>
                <w:color w:val="1A1A1A"/>
                <w:sz w:val="17"/>
                <w:szCs w:val="17"/>
              </w:rPr>
              <w:t xml:space="preserve"> </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Five provenance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Rule 1 — artifacts are durable.</w:t>
            </w:r>
            <w:r>
              <w:rPr>
                <w:rFonts w:ascii="Arial" w:cs="Arial" w:eastAsia="Arial" w:hAnsi="Arial"/>
                <w:b w:val="false"/>
                <w:bCs w:val="false"/>
                <w:i w:val="false"/>
                <w:iCs w:val="false"/>
                <w:color w:val="1A1A1A"/>
                <w:sz w:val="21"/>
                <w:szCs w:val="21"/>
              </w:rPr>
              <w:t xml:space="preserve"> Once a source is in source_context, it stays there even after it is superseded. Superseded sources are marked but not deleted. They are the audit record of why earlier curve versions said what they said.</w:t>
            </w:r>
          </w:p>
          <w:p>
            <w:pPr>
              <w:spacing w:after="140" w:line="300"/>
            </w:pPr>
            <w:r>
              <w:rPr>
                <w:rFonts w:ascii="Arial" w:cs="Arial" w:eastAsia="Arial" w:hAnsi="Arial"/>
                <w:b/>
                <w:bCs/>
                <w:i w:val="false"/>
                <w:iCs w:val="false"/>
                <w:color w:val="1A1A1A"/>
                <w:sz w:val="21"/>
                <w:szCs w:val="21"/>
              </w:rPr>
              <w:t xml:space="preserve">Rule 2 — links not summaries.</w:t>
            </w:r>
            <w:r>
              <w:rPr>
                <w:rFonts w:ascii="Arial" w:cs="Arial" w:eastAsia="Arial" w:hAnsi="Arial"/>
                <w:b w:val="false"/>
                <w:bCs w:val="false"/>
                <w:i w:val="false"/>
                <w:iCs w:val="false"/>
                <w:color w:val="1A1A1A"/>
                <w:sz w:val="21"/>
                <w:szCs w:val="21"/>
              </w:rPr>
              <w:t xml:space="preserve"> The source-to-parameter table cites a specific artifact + specific location. It does not paraphrase. A summary is convenient and lossy; an artifact + location is auditable.</w:t>
            </w:r>
          </w:p>
          <w:p>
            <w:pPr>
              <w:spacing w:after="140" w:line="300"/>
            </w:pPr>
            <w:r>
              <w:rPr>
                <w:rFonts w:ascii="Arial" w:cs="Arial" w:eastAsia="Arial" w:hAnsi="Arial"/>
                <w:b/>
                <w:bCs/>
                <w:i w:val="false"/>
                <w:iCs w:val="false"/>
                <w:color w:val="1A1A1A"/>
                <w:sz w:val="21"/>
                <w:szCs w:val="21"/>
              </w:rPr>
              <w:t xml:space="preserve">Rule 3 — provenance survives parameter change.</w:t>
            </w:r>
            <w:r>
              <w:rPr>
                <w:rFonts w:ascii="Arial" w:cs="Arial" w:eastAsia="Arial" w:hAnsi="Arial"/>
                <w:b w:val="false"/>
                <w:bCs w:val="false"/>
                <w:i w:val="false"/>
                <w:iCs w:val="false"/>
                <w:color w:val="1A1A1A"/>
                <w:sz w:val="21"/>
                <w:szCs w:val="21"/>
              </w:rPr>
              <w:t xml:space="preserve"> When a parameter is updated, the new value carries a new provenance row. The old row is kept under the curve’s changelog. Provenance is the changelog’s native form.</w:t>
            </w:r>
          </w:p>
          <w:p>
            <w:pPr>
              <w:spacing w:after="140" w:line="300"/>
            </w:pPr>
            <w:r>
              <w:rPr>
                <w:rFonts w:ascii="Arial" w:cs="Arial" w:eastAsia="Arial" w:hAnsi="Arial"/>
                <w:b/>
                <w:bCs/>
                <w:i w:val="false"/>
                <w:iCs w:val="false"/>
                <w:color w:val="1A1A1A"/>
                <w:sz w:val="21"/>
                <w:szCs w:val="21"/>
              </w:rPr>
              <w:t xml:space="preserve">Rule 4 — provenance is per-parameter, not per-curve.</w:t>
            </w:r>
            <w:r>
              <w:rPr>
                <w:rFonts w:ascii="Arial" w:cs="Arial" w:eastAsia="Arial" w:hAnsi="Arial"/>
                <w:b w:val="false"/>
                <w:bCs w:val="false"/>
                <w:i w:val="false"/>
                <w:iCs w:val="false"/>
                <w:color w:val="1A1A1A"/>
                <w:sz w:val="21"/>
                <w:szCs w:val="21"/>
              </w:rPr>
              <w:t xml:space="preserve"> Two parameters in the same curve can have different evidence at different tiers. The capability declaration aggregates over the worst tier the curve depends on; the dossier preserves the per-parameter view.</w:t>
            </w:r>
          </w:p>
          <w:p>
            <w:pPr>
              <w:spacing w:after="140" w:line="300"/>
            </w:pPr>
            <w:r>
              <w:rPr>
                <w:rFonts w:ascii="Arial" w:cs="Arial" w:eastAsia="Arial" w:hAnsi="Arial"/>
                <w:b/>
                <w:bCs/>
                <w:i w:val="false"/>
                <w:iCs w:val="false"/>
                <w:color w:val="1A1A1A"/>
                <w:sz w:val="21"/>
                <w:szCs w:val="21"/>
              </w:rPr>
              <w:t xml:space="preserve">Rule 5 — provenance is a deliverable, not a footnote.</w:t>
            </w:r>
            <w:r>
              <w:rPr>
                <w:rFonts w:ascii="Arial" w:cs="Arial" w:eastAsia="Arial" w:hAnsi="Arial"/>
                <w:b w:val="false"/>
                <w:bCs w:val="false"/>
                <w:i w:val="false"/>
                <w:iCs w:val="false"/>
                <w:color w:val="1A1A1A"/>
                <w:sz w:val="21"/>
                <w:szCs w:val="21"/>
              </w:rPr>
              <w:t xml:space="preserve"> A curve without a source-to-parameter table and a source_context folder is not shippable. The dossier is part of what ships.</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6. The evidence-tier × curve-claim matrix</w:t>
      </w:r>
    </w:p>
    <w:p>
      <w:pPr>
        <w:spacing w:after="140" w:line="300"/>
      </w:pPr>
      <w:r>
        <w:rPr>
          <w:rFonts w:ascii="Arial" w:cs="Arial" w:eastAsia="Arial" w:hAnsi="Arial"/>
          <w:b w:val="false"/>
          <w:bCs w:val="false"/>
          <w:i w:val="false"/>
          <w:iCs w:val="false"/>
          <w:color w:val="1A1A1A"/>
          <w:sz w:val="21"/>
          <w:szCs w:val="21"/>
        </w:rPr>
        <w:t xml:space="preserve">This is the most operationally important section of the document. It is what gates which downstream metrics a curve can honestly support. The matrix reads: </w:t>
      </w:r>
      <w:r>
        <w:rPr>
          <w:rFonts w:ascii="Arial" w:cs="Arial" w:eastAsia="Arial" w:hAnsi="Arial"/>
          <w:b w:val="false"/>
          <w:bCs w:val="false"/>
          <w:i/>
          <w:iCs/>
          <w:color w:val="1A1A1A"/>
          <w:sz w:val="21"/>
          <w:szCs w:val="21"/>
        </w:rPr>
        <w:t xml:space="preserve">given the curve’s evidence base, which metrics can be claimed; which must be withheld.</w:t>
      </w:r>
    </w:p>
    <w:p>
      <w:pPr>
        <w:spacing w:after="140" w:line="300"/>
      </w:pPr>
      <w:r>
        <w:rPr>
          <w:rFonts w:ascii="Arial" w:cs="Arial" w:eastAsia="Arial" w:hAnsi="Arial"/>
          <w:b/>
          <w:bCs/>
          <w:i w:val="false"/>
          <w:iCs w:val="false"/>
          <w:color w:val="1A1A1A"/>
          <w:sz w:val="21"/>
          <w:szCs w:val="21"/>
        </w:rPr>
        <w:t xml:space="preserve">The reading rule.</w:t>
      </w:r>
      <w:r>
        <w:rPr>
          <w:rFonts w:ascii="Arial" w:cs="Arial" w:eastAsia="Arial" w:hAnsi="Arial"/>
          <w:b w:val="false"/>
          <w:bCs w:val="false"/>
          <w:i w:val="false"/>
          <w:iCs w:val="false"/>
          <w:color w:val="1A1A1A"/>
          <w:sz w:val="21"/>
          <w:szCs w:val="21"/>
        </w:rPr>
        <w:t xml:space="preserve"> Take the curve’s weakest parameter (the parameter whose evidence is at the lowest tier). The metrics column for that tier is the set of metrics the curve can claim. Metrics in higher rows are </w:t>
      </w:r>
      <w:r>
        <w:rPr>
          <w:rFonts w:ascii="Arial" w:cs="Arial" w:eastAsia="Arial" w:hAnsi="Arial"/>
          <w:b/>
          <w:bCs/>
          <w:i w:val="false"/>
          <w:iCs w:val="false"/>
          <w:color w:val="01696F"/>
          <w:sz w:val="21"/>
          <w:szCs w:val="21"/>
        </w:rPr>
        <w:t xml:space="preserve">withheld, not caveated</w:t>
      </w:r>
      <w:r>
        <w:rPr>
          <w:rFonts w:ascii="Arial" w:cs="Arial" w:eastAsia="Arial" w:hAnsi="Arial"/>
          <w:b w:val="false"/>
          <w:bCs w:val="false"/>
          <w:i w:val="false"/>
          <w:iCs w:val="false"/>
          <w:color w:val="1A1A1A"/>
          <w:sz w:val="21"/>
          <w:szCs w:val="21"/>
        </w:rPr>
        <w:t xml:space="preserve"> — they are removed from the capability declaration entirely.</w:t>
      </w:r>
    </w:p>
    <w:p>
      <w:pPr>
        <w:pStyle w:val="Heading2"/>
        <w:spacing w:after="140" w:before="320"/>
      </w:pPr>
      <w:r>
        <w:rPr>
          <w:rFonts w:ascii="Arial" w:cs="Arial" w:eastAsia="Arial" w:hAnsi="Arial"/>
          <w:b/>
          <w:bCs/>
          <w:color w:val="1A1A1A"/>
          <w:sz w:val="26"/>
          <w:szCs w:val="26"/>
        </w:rPr>
        <w:t xml:space="preserve">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160"/>
        <w:gridCol w:w="3600"/>
      </w:tblGrid>
      <w:tr>
        <w:trPr>
          <w:tblHeader/>
        </w:trPr>
        <w:tc>
          <w:tcPr>
            <w:tcW w:type="dxa" w:w="19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Weakest tier</w:t>
            </w:r>
          </w:p>
        </w:tc>
        <w:tc>
          <w:tcPr>
            <w:tcW w:type="dxa" w:w="1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Mean DR honest?</w:t>
            </w:r>
          </w:p>
        </w:tc>
        <w:tc>
          <w:tcPr>
            <w:tcW w:type="dxa" w:w="2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Tail metrics honest?</w:t>
            </w:r>
          </w:p>
        </w:tc>
        <w:tc>
          <w:tcPr>
            <w:tcW w:type="dxa" w:w="36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Capability declaration must read</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 across all parameters + secondary uncertainty carried</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Yes</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Yes (EAL, VaR, AEP-PML, OEP-PML, TVaR)</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Full capability: emit shape can be distribution; metrics_supportable: { EAL, VaR, AEP-PML, OEP-PML, TVaR } subject to hazard pipeline’s own capabilities.</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 with no secondary uncertainty</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Yes</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EAL only</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Mean honest; tail metrics WITHHELD until spread is curated. metrics_supportable: { EAL }.</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T2 mixed with T1</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Yes</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EAL; VaR only with explicit conservative cap</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Mean honest. metrics_supportable: { EAL }; VaR conditional on a passing cap-binding preflight, withheld otherwise. The curve does not return a flagged-but-unreliable VaR.</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T2 throughout</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Provisional</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EAL only, with the curve’s mean treated as a midpoint estimate</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metrics_supportable: { EAL }. The curve says explicitly that it is a standards-derived provisional shape.</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T3 anywhere</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Order-of-magnitude only</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None</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metrics_supportable: { } (empty) until evidence base improves. The curve renders and informs; it does not back metrics.</w:t>
            </w:r>
          </w:p>
        </w:tc>
      </w:tr>
      <w:tr>
        <w:trPr>
          <w:tblHeader w:val="false"/>
        </w:trPr>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T4 anywhere</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Provisional existence only</w:t>
            </w:r>
          </w:p>
        </w:tc>
        <w:tc>
          <w:tcPr>
            <w:tcW w:type="dxa" w:w="2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None</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metrics_supportable: { }. The curve is in the system as a placeholder with a backlog. Downstream consumers are blocked from using it for sized claims.</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Why withhold not caveat</w:t>
      </w:r>
    </w:p>
    <w:p>
      <w:pPr>
        <w:spacing w:after="140" w:line="300"/>
      </w:pPr>
      <w:r>
        <w:rPr>
          <w:rFonts w:ascii="Arial" w:cs="Arial" w:eastAsia="Arial" w:hAnsi="Arial"/>
          <w:b w:val="false"/>
          <w:bCs w:val="false"/>
          <w:i w:val="false"/>
          <w:iCs w:val="false"/>
          <w:color w:val="1A1A1A"/>
          <w:sz w:val="21"/>
          <w:szCs w:val="21"/>
        </w:rPr>
        <w:t xml:space="preserve">When the evidence does not support a metric, the curve does not say "VaR is X but the evidence is weak." It does not produce VaR at all. The reasoning, in three sentences: </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A caveat does not survive transcription. </w:t>
      </w:r>
      <w:r>
        <w:rPr>
          <w:rFonts w:ascii="Arial" w:cs="Arial" w:eastAsia="Arial" w:hAnsi="Arial"/>
          <w:b w:val="false"/>
          <w:bCs w:val="false"/>
          <w:i w:val="false"/>
          <w:iCs w:val="false"/>
          <w:color w:val="1A1A1A"/>
          <w:sz w:val="21"/>
          <w:szCs w:val="21"/>
        </w:rPr>
        <w:t xml:space="preserve">Numbers travel. The number lands in a spreadsheet; the caveat does not. By the time the number reaches a counterparty, the caveat is gone.</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Withholding forces the question. </w:t>
      </w:r>
      <w:r>
        <w:rPr>
          <w:rFonts w:ascii="Arial" w:cs="Arial" w:eastAsia="Arial" w:hAnsi="Arial"/>
          <w:b w:val="false"/>
          <w:bCs w:val="false"/>
          <w:i w:val="false"/>
          <w:iCs w:val="false"/>
          <w:color w:val="1A1A1A"/>
          <w:sz w:val="21"/>
          <w:szCs w:val="21"/>
        </w:rPr>
        <w:t xml:space="preserve">When a consumer asks "why is there no VaR?" the answer is the evidence story. The consumer learns what the evidence base needs to become before the metric is honest. This is information; a number with a caveat is not.</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Withholding is what the contract is for. </w:t>
      </w:r>
      <w:r>
        <w:rPr>
          <w:rFonts w:ascii="Arial" w:cs="Arial" w:eastAsia="Arial" w:hAnsi="Arial"/>
          <w:b w:val="false"/>
          <w:bCs w:val="false"/>
          <w:i w:val="false"/>
          <w:iCs w:val="false"/>
          <w:color w:val="1A1A1A"/>
          <w:sz w:val="21"/>
          <w:szCs w:val="21"/>
        </w:rPr>
        <w:t xml:space="preserve">The capability declaration exists to make explicit which metrics are honestly produced. If everything is produced with caveats, the declaration is dead letter.</w:t>
      </w:r>
    </w:p>
    <w:p>
      <w:pPr>
        <w:spacing w:after="200"/>
      </w:pPr>
      <w:r>
        <w:t xml:space="preserve"/>
      </w:r>
    </w:p>
    <w:p>
      <w:pPr>
        <w:pStyle w:val="Heading2"/>
        <w:spacing w:after="140" w:before="320"/>
      </w:pPr>
      <w:r>
        <w:rPr>
          <w:rFonts w:ascii="Arial" w:cs="Arial" w:eastAsia="Arial" w:hAnsi="Arial"/>
          <w:b/>
          <w:bCs/>
          <w:color w:val="1A1A1A"/>
          <w:sz w:val="26"/>
          <w:szCs w:val="26"/>
        </w:rPr>
        <w:t xml:space="preserve">Worked example — what the matrix does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Cell: hail × utility-scale solar (failure-unit: panel glass).</w:t>
            </w:r>
          </w:p>
          <w:p>
            <w:pPr>
              <w:spacing w:after="140" w:line="300"/>
            </w:pPr>
            <w:r>
              <w:rPr>
                <w:rFonts w:ascii="Arial" w:cs="Arial" w:eastAsia="Arial" w:hAnsi="Arial"/>
                <w:b w:val="false"/>
                <w:bCs w:val="false"/>
                <w:i w:val="false"/>
                <w:iCs w:val="false"/>
                <w:color w:val="1A1A1A"/>
                <w:sz w:val="21"/>
                <w:szCs w:val="21"/>
              </w:rPr>
              <w:t xml:space="preserve">Evidence base, as of v1.0 of the cell:</w:t>
            </w:r>
          </w:p>
          <w:p>
            <w:pPr>
              <w:spacing w:after="140" w:line="300"/>
            </w:pPr>
            <w:r>
              <w:rPr>
                <w:rFonts w:ascii="Arial" w:cs="Arial" w:eastAsia="Arial" w:hAnsi="Arial"/>
                <w:b w:val="false"/>
                <w:bCs w:val="false"/>
                <w:i w:val="false"/>
                <w:iCs w:val="false"/>
                <w:color w:val="1A1A1A"/>
                <w:sz w:val="21"/>
                <w:szCs w:val="21"/>
              </w:rPr>
              <w:t xml:space="preserve">  • L = 0.85 — tier T2 (IBHS spec + IEC 61215)</w:t>
            </w:r>
          </w:p>
          <w:p>
            <w:pPr>
              <w:spacing w:after="140" w:line="300"/>
            </w:pPr>
            <w:r>
              <w:rPr>
                <w:rFonts w:ascii="Arial" w:cs="Arial" w:eastAsia="Arial" w:hAnsi="Arial"/>
                <w:b w:val="false"/>
                <w:bCs w:val="false"/>
                <w:i w:val="false"/>
                <w:iCs w:val="false"/>
                <w:color w:val="1A1A1A"/>
                <w:sz w:val="21"/>
                <w:szCs w:val="21"/>
              </w:rPr>
              <w:t xml:space="preserve">  • k = 0.062 — tier T1 (panel hail-impact study, specimens spanning ~30–70 mm)</w:t>
            </w:r>
          </w:p>
          <w:p>
            <w:pPr>
              <w:spacing w:after="140" w:line="300"/>
            </w:pPr>
            <w:r>
              <w:rPr>
                <w:rFonts w:ascii="Arial" w:cs="Arial" w:eastAsia="Arial" w:hAnsi="Arial"/>
                <w:b w:val="false"/>
                <w:bCs w:val="false"/>
                <w:i w:val="false"/>
                <w:iCs w:val="false"/>
                <w:color w:val="1A1A1A"/>
                <w:sz w:val="21"/>
                <w:szCs w:val="21"/>
              </w:rPr>
              <w:t xml:space="preserve">  • x₀ = 46 mm — tier T1 (panel hail-impact study, midpoint of fit)</w:t>
            </w:r>
          </w:p>
          <w:p>
            <w:pPr>
              <w:spacing w:after="140" w:line="300"/>
            </w:pPr>
            <w:r>
              <w:rPr>
                <w:rFonts w:ascii="Arial" w:cs="Arial" w:eastAsia="Arial" w:hAnsi="Arial"/>
                <w:b w:val="false"/>
                <w:bCs w:val="false"/>
                <w:i w:val="false"/>
                <w:iCs w:val="false"/>
                <w:color w:val="1A1A1A"/>
                <w:sz w:val="21"/>
                <w:szCs w:val="21"/>
              </w:rPr>
              <w:t xml:space="preserve">  • x_threshold = 25 mm — tier T2 (IBHS impact threshold)</w:t>
            </w:r>
          </w:p>
          <w:p>
            <w:pPr>
              <w:spacing w:after="140" w:line="300"/>
            </w:pPr>
            <w:r>
              <w:rPr>
                <w:rFonts w:ascii="Arial" w:cs="Arial" w:eastAsia="Arial" w:hAnsi="Arial"/>
                <w:b w:val="false"/>
                <w:bCs w:val="false"/>
                <w:i w:val="false"/>
                <w:iCs w:val="false"/>
                <w:color w:val="1A1A1A"/>
                <w:sz w:val="21"/>
                <w:szCs w:val="21"/>
              </w:rPr>
              <w:t xml:space="preserve">  • Secondary uncertainty — </w:t>
            </w:r>
            <w:r>
              <w:rPr>
                <w:rFonts w:ascii="Arial" w:cs="Arial" w:eastAsia="Arial" w:hAnsi="Arial"/>
                <w:b/>
                <w:bCs/>
                <w:i w:val="false"/>
                <w:iCs w:val="false"/>
                <w:color w:val="1A1A1A"/>
                <w:sz w:val="21"/>
                <w:szCs w:val="21"/>
              </w:rPr>
              <w:t xml:space="preserve">not curated</w:t>
            </w:r>
            <w:r>
              <w:rPr>
                <w:rFonts w:ascii="Arial" w:cs="Arial" w:eastAsia="Arial" w:hAnsi="Arial"/>
                <w:b w:val="false"/>
                <w:bCs w:val="false"/>
                <w:i w:val="false"/>
                <w:iCs w:val="false"/>
                <w:color w:val="1A1A1A"/>
                <w:sz w:val="21"/>
                <w:szCs w:val="21"/>
              </w:rPr>
              <w:t xml:space="preserve"> in v1.0.</w:t>
            </w:r>
          </w:p>
          <w:p>
            <w:pPr>
              <w:spacing w:after="140" w:line="300"/>
            </w:pPr>
            <w:r>
              <w:rPr>
                <w:rFonts w:ascii="Arial" w:cs="Arial" w:eastAsia="Arial" w:hAnsi="Arial"/>
                <w:b w:val="false"/>
                <w:bCs w:val="false"/>
                <w:i w:val="false"/>
                <w:iCs w:val="false"/>
                <w:color w:val="1A1A1A"/>
                <w:sz w:val="21"/>
                <w:szCs w:val="21"/>
              </w:rPr>
              <w:t xml:space="preserve">Weakest tier across the parameters: T2 mixed with T1. Secondary uncertainty absent.</w:t>
            </w:r>
          </w:p>
          <w:p>
            <w:pPr>
              <w:spacing w:after="140" w:line="300"/>
            </w:pPr>
            <w:r>
              <w:rPr>
                <w:rFonts w:ascii="Arial" w:cs="Arial" w:eastAsia="Arial" w:hAnsi="Arial"/>
                <w:b/>
                <w:bCs/>
                <w:i w:val="false"/>
                <w:iCs w:val="false"/>
                <w:color w:val="1A1A1A"/>
                <w:sz w:val="21"/>
                <w:szCs w:val="21"/>
              </w:rPr>
              <w:t xml:space="preserve">Capability declaration that ships:</w:t>
            </w:r>
          </w:p>
          <w:p>
            <w:pPr>
              <w:spacing w:after="140" w:line="300"/>
            </w:pPr>
            <w:r>
              <w:rPr>
                <w:rFonts w:ascii="Arial" w:cs="Arial" w:eastAsia="Arial" w:hAnsi="Arial"/>
                <w:b w:val="false"/>
                <w:bCs w:val="false"/>
                <w:i w:val="false"/>
                <w:iCs w:val="false"/>
                <w:color w:val="1A1A1A"/>
                <w:sz w:val="21"/>
                <w:szCs w:val="21"/>
              </w:rPr>
              <w:t xml:space="preserve">  metrics_supportable:  scalar_eal: conditional_on_cap_binding;  pml | var | tvar: withheld</w:t>
            </w:r>
          </w:p>
          <w:p>
            <w:pPr>
              <w:spacing w:after="140" w:line="300"/>
            </w:pPr>
            <w:r>
              <w:rPr>
                <w:rFonts w:ascii="Arial" w:cs="Arial" w:eastAsia="Arial" w:hAnsi="Arial"/>
                <w:b w:val="false"/>
                <w:bCs w:val="false"/>
                <w:i w:val="false"/>
                <w:iCs w:val="false"/>
                <w:color w:val="1A1A1A"/>
                <w:sz w:val="21"/>
                <w:szCs w:val="21"/>
              </w:rPr>
              <w:t xml:space="preserve">  spread_carried: false   (emit shape: scalar mean DR)</w:t>
            </w:r>
          </w:p>
          <w:p>
            <w:pPr>
              <w:spacing w:after="140" w:line="300"/>
            </w:pPr>
            <w:r>
              <w:rPr>
                <w:rFonts w:ascii="Arial" w:cs="Arial" w:eastAsia="Arial" w:hAnsi="Arial"/>
                <w:b w:val="false"/>
                <w:bCs w:val="false"/>
                <w:i w:val="false"/>
                <w:iCs w:val="false"/>
                <w:color w:val="1A1A1A"/>
                <w:sz w:val="21"/>
                <w:szCs w:val="21"/>
              </w:rPr>
              <w:t xml:space="preserve">  (tail metrics withheld — pending secondary-uncertainty curation; named in the backlog)</w:t>
            </w:r>
          </w:p>
          <w:p>
            <w:pPr>
              <w:spacing w:after="140" w:line="300"/>
            </w:pPr>
            <w:r>
              <w:rPr>
                <w:rFonts w:ascii="Arial" w:cs="Arial" w:eastAsia="Arial" w:hAnsi="Arial"/>
                <w:b w:val="false"/>
                <w:bCs w:val="false"/>
                <w:i w:val="false"/>
                <w:iCs w:val="false"/>
                <w:color w:val="1A1A1A"/>
                <w:sz w:val="21"/>
                <w:szCs w:val="21"/>
              </w:rPr>
              <w:t xml:space="preserve">  cap_binding: policy pass_required;  source_tier: T2 (weakest the curve depends on)</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7. Evidence ingestion protocol</w:t>
      </w:r>
    </w:p>
    <w:p>
      <w:pPr>
        <w:spacing w:after="140" w:line="300"/>
      </w:pPr>
      <w:r>
        <w:rPr>
          <w:rFonts w:ascii="Arial" w:cs="Arial" w:eastAsia="Arial" w:hAnsi="Arial"/>
          <w:b w:val="false"/>
          <w:bCs w:val="false"/>
          <w:i w:val="false"/>
          <w:iCs w:val="false"/>
          <w:color w:val="1A1A1A"/>
          <w:sz w:val="21"/>
          <w:szCs w:val="21"/>
        </w:rPr>
        <w:t xml:space="preserve">When a new piece of evidence arrives — a new paper is published, a vendor sends a test report, a forensic study lands, claims data is shared — there is a fixed protocol for what to do with it. The protocol exists because the default mistake is to </w:t>
      </w:r>
      <w:r>
        <w:rPr>
          <w:rFonts w:ascii="Arial" w:cs="Arial" w:eastAsia="Arial" w:hAnsi="Arial"/>
          <w:b w:val="false"/>
          <w:bCs w:val="false"/>
          <w:i/>
          <w:iCs/>
          <w:color w:val="1A1A1A"/>
          <w:sz w:val="21"/>
          <w:szCs w:val="21"/>
        </w:rPr>
        <w:t xml:space="preserve">immediately update the curve</w:t>
      </w:r>
      <w:r>
        <w:rPr>
          <w:rFonts w:ascii="Arial" w:cs="Arial" w:eastAsia="Arial" w:hAnsi="Arial"/>
          <w:b w:val="false"/>
          <w:bCs w:val="false"/>
          <w:i w:val="false"/>
          <w:iCs w:val="false"/>
          <w:color w:val="1A1A1A"/>
          <w:sz w:val="21"/>
          <w:szCs w:val="21"/>
        </w:rPr>
        <w:t xml:space="preserve"> — which silently churns parameter values and breaks downstream contracts. The right default is to </w:t>
      </w:r>
      <w:r>
        <w:rPr>
          <w:rFonts w:ascii="Arial" w:cs="Arial" w:eastAsia="Arial" w:hAnsi="Arial"/>
          <w:b/>
          <w:bCs/>
          <w:i w:val="false"/>
          <w:iCs w:val="false"/>
          <w:color w:val="1A1A1A"/>
          <w:sz w:val="21"/>
          <w:szCs w:val="21"/>
        </w:rPr>
        <w:t xml:space="preserve">triage the new evidence into one of six branches</w:t>
      </w:r>
      <w:r>
        <w:rPr>
          <w:rFonts w:ascii="Arial" w:cs="Arial" w:eastAsia="Arial" w:hAnsi="Arial"/>
          <w:b w:val="false"/>
          <w:bCs w:val="false"/>
          <w:i w:val="false"/>
          <w:iCs w:val="false"/>
          <w:color w:val="1A1A1A"/>
          <w:sz w:val="21"/>
          <w:szCs w:val="21"/>
        </w:rPr>
        <w:t xml:space="preserve">.</w:t>
      </w:r>
    </w:p>
    <w:p>
      <w:pPr>
        <w:pStyle w:val="Heading2"/>
        <w:spacing w:after="140" w:before="320"/>
      </w:pPr>
      <w:r>
        <w:rPr>
          <w:rFonts w:ascii="Arial" w:cs="Arial" w:eastAsia="Arial" w:hAnsi="Arial"/>
          <w:b/>
          <w:bCs/>
          <w:color w:val="1A1A1A"/>
          <w:sz w:val="26"/>
          <w:szCs w:val="26"/>
        </w:rPr>
        <w:t xml:space="preserve">The six decision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new evidence arrives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v</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TRIAGE: which branch does this evidence belong on?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       │        │        │       │</w:t>
            </w:r>
          </w:p>
          <w:p>
            <w:pPr>
              <w:spacing w:after="0" w:before="0" w:line="240"/>
            </w:pPr>
            <w:r>
              <w:rPr>
                <w:rFonts w:ascii="Consolas" w:cs="Consolas" w:eastAsia="Consolas" w:hAnsi="Consolas"/>
                <w:color w:val="1A1A1A"/>
                <w:sz w:val="17"/>
                <w:szCs w:val="17"/>
              </w:rPr>
              <w:t xml:space="preserve">        v       v       v        v        v       v</w:t>
            </w:r>
          </w:p>
          <w:p>
            <w:pPr>
              <w:spacing w:after="0" w:before="0" w:line="240"/>
            </w:pPr>
            <w:r>
              <w:rPr>
                <w:rFonts w:ascii="Consolas" w:cs="Consolas" w:eastAsia="Consolas" w:hAnsi="Consolas"/>
                <w:color w:val="1A1A1A"/>
                <w:sz w:val="17"/>
                <w:szCs w:val="17"/>
              </w:rPr>
              <w:t xml:space="preserve">   ┌──────┐ ┌──────┐ ┌──────┐ ┌──────┐ ┌──────┐ ┌──────────────┐</w:t>
            </w:r>
          </w:p>
          <w:p>
            <w:pPr>
              <w:spacing w:after="0" w:before="0" w:line="240"/>
            </w:pPr>
            <w:r>
              <w:rPr>
                <w:rFonts w:ascii="Consolas" w:cs="Consolas" w:eastAsia="Consolas" w:hAnsi="Consolas"/>
                <w:color w:val="1A1A1A"/>
                <w:sz w:val="17"/>
                <w:szCs w:val="17"/>
              </w:rPr>
              <w:t xml:space="preserve">   │  B1  │ │  B2  │ │  B3  │ │  B4  │ │  B5  │ │      B6       │</w:t>
            </w:r>
          </w:p>
          <w:p>
            <w:pPr>
              <w:spacing w:after="0" w:before="0" w:line="240"/>
            </w:pPr>
            <w:r>
              <w:rPr>
                <w:rFonts w:ascii="Consolas" w:cs="Consolas" w:eastAsia="Consolas" w:hAnsi="Consolas"/>
                <w:color w:val="1A1A1A"/>
                <w:sz w:val="17"/>
                <w:szCs w:val="17"/>
              </w:rPr>
              <w:t xml:space="preserve">   │update│ │  add │ │change│ │reopen│ │update│ │ shelf in      │</w:t>
            </w:r>
          </w:p>
          <w:p>
            <w:pPr>
              <w:spacing w:after="0" w:before="0" w:line="240"/>
            </w:pPr>
            <w:r>
              <w:rPr>
                <w:rFonts w:ascii="Consolas" w:cs="Consolas" w:eastAsia="Consolas" w:hAnsi="Consolas"/>
                <w:color w:val="1A1A1A"/>
                <w:sz w:val="17"/>
                <w:szCs w:val="17"/>
              </w:rPr>
              <w:t xml:space="preserve">   │param │ │selec-│ │condi-│ │ axis │ │assump│ │ evidence      │</w:t>
            </w:r>
          </w:p>
          <w:p>
            <w:pPr>
              <w:spacing w:after="0" w:before="0" w:line="240"/>
            </w:pPr>
            <w:r>
              <w:rPr>
                <w:rFonts w:ascii="Consolas" w:cs="Consolas" w:eastAsia="Consolas" w:hAnsi="Consolas"/>
                <w:color w:val="1A1A1A"/>
                <w:sz w:val="17"/>
                <w:szCs w:val="17"/>
              </w:rPr>
              <w:t xml:space="preserve">   │ row  │ │ tor  │ │tioner│ │      │ │tion  │ │ backlog       │</w:t>
            </w:r>
          </w:p>
          <w:p>
            <w:pPr>
              <w:spacing w:after="0" w:before="0" w:line="240"/>
            </w:pPr>
            <w:r>
              <w:rPr>
                <w:rFonts w:ascii="Consolas" w:cs="Consolas" w:eastAsia="Consolas" w:hAnsi="Consolas"/>
                <w:color w:val="1A1A1A"/>
                <w:sz w:val="17"/>
                <w:szCs w:val="17"/>
              </w:rPr>
              <w:t xml:space="preserve">   └──────┘ └──────┘ └──────┘ └──────┘ └──────┘ └──────────────┘</w:t>
            </w:r>
          </w:p>
          <w:p>
            <w:pPr>
              <w:spacing w:after="0" w:before="0" w:line="240"/>
            </w:pPr>
            <w:r>
              <w:rPr>
                <w:rFonts w:ascii="Consolas" w:cs="Consolas" w:eastAsia="Consolas" w:hAnsi="Consolas"/>
                <w:color w:val="1A1A1A"/>
                <w:sz w:val="17"/>
                <w:szCs w:val="17"/>
              </w:rPr>
              <w:t xml:space="preserve"> </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Each branch defined</w:t>
      </w:r>
    </w:p>
    <w:p>
      <w:pPr>
        <w:pStyle w:val="Heading3"/>
        <w:spacing w:after="100" w:before="220"/>
      </w:pPr>
      <w:r>
        <w:rPr>
          <w:rFonts w:ascii="Arial" w:cs="Arial" w:eastAsia="Arial" w:hAnsi="Arial"/>
          <w:b/>
          <w:bCs/>
          <w:color w:val="1A1A1A"/>
          <w:sz w:val="22"/>
          <w:szCs w:val="22"/>
        </w:rPr>
        <w:t xml:space="preserve">B1 — update parameter row</w:t>
      </w:r>
    </w:p>
    <w:p>
      <w:pPr>
        <w:spacing w:after="140" w:line="300"/>
      </w:pPr>
      <w:r>
        <w:rPr>
          <w:rFonts w:ascii="Arial" w:cs="Arial" w:eastAsia="Arial" w:hAnsi="Arial"/>
          <w:b w:val="false"/>
          <w:bCs w:val="false"/>
          <w:i w:val="false"/>
          <w:iCs w:val="false"/>
          <w:color w:val="1A1A1A"/>
          <w:sz w:val="21"/>
          <w:szCs w:val="21"/>
        </w:rPr>
        <w:t xml:space="preserve">The new evidence corroborates or revises one or more parameters in the existing curve, with no change to selectors, conditioners, axis, or assumptions. Most papers and standards updates land here.</w:t>
      </w:r>
    </w:p>
    <w:p>
      <w:pPr>
        <w:spacing w:after="140" w:line="300"/>
      </w:pPr>
      <w:r>
        <w:rPr>
          <w:rFonts w:ascii="Arial" w:cs="Arial" w:eastAsia="Arial" w:hAnsi="Arial"/>
          <w:b/>
          <w:bCs/>
          <w:i w:val="false"/>
          <w:iCs w:val="false"/>
          <w:color w:val="1A1A1A"/>
          <w:sz w:val="21"/>
          <w:szCs w:val="21"/>
        </w:rPr>
        <w:t xml:space="preserve">Action: </w:t>
      </w:r>
      <w:r>
        <w:rPr>
          <w:rFonts w:ascii="Arial" w:cs="Arial" w:eastAsia="Arial" w:hAnsi="Arial"/>
          <w:b w:val="false"/>
          <w:bCs w:val="false"/>
          <w:i w:val="false"/>
          <w:iCs w:val="false"/>
          <w:color w:val="1A1A1A"/>
          <w:sz w:val="21"/>
          <w:szCs w:val="21"/>
        </w:rPr>
        <w:t xml:space="preserve">open a curve update; revise the parameter row(s); change the tier on those rows if the new evidence promotes or demotes; preserve the previous row under the changelog; bump the cell version (patch increment for tier-preserving; minor for tier-changing).</w:t>
      </w:r>
    </w:p>
    <w:p>
      <w:pPr>
        <w:pStyle w:val="Heading3"/>
        <w:spacing w:after="100" w:before="220"/>
      </w:pPr>
      <w:r>
        <w:rPr>
          <w:rFonts w:ascii="Arial" w:cs="Arial" w:eastAsia="Arial" w:hAnsi="Arial"/>
          <w:b/>
          <w:bCs/>
          <w:color w:val="1A1A1A"/>
          <w:sz w:val="22"/>
          <w:szCs w:val="22"/>
        </w:rPr>
        <w:t xml:space="preserve">B2 — add a selector</w:t>
      </w:r>
    </w:p>
    <w:p>
      <w:pPr>
        <w:spacing w:after="140" w:line="300"/>
      </w:pPr>
      <w:r>
        <w:rPr>
          <w:rFonts w:ascii="Arial" w:cs="Arial" w:eastAsia="Arial" w:hAnsi="Arial"/>
          <w:b w:val="false"/>
          <w:bCs w:val="false"/>
          <w:i w:val="false"/>
          <w:iCs w:val="false"/>
          <w:color w:val="1A1A1A"/>
          <w:sz w:val="21"/>
          <w:szCs w:val="21"/>
        </w:rPr>
        <w:t xml:space="preserve">The new evidence demonstrates that an existing curve is hiding behavior that depends on a fixed asset attribute — e.g. mono-Si and bifacial panels have meaningfully different hail damage curves, and the existing curve has been treating them as one. The evidence implies a split.</w:t>
      </w:r>
    </w:p>
    <w:p>
      <w:pPr>
        <w:spacing w:after="140" w:line="300"/>
      </w:pPr>
      <w:r>
        <w:rPr>
          <w:rFonts w:ascii="Arial" w:cs="Arial" w:eastAsia="Arial" w:hAnsi="Arial"/>
          <w:b/>
          <w:bCs/>
          <w:i w:val="false"/>
          <w:iCs w:val="false"/>
          <w:color w:val="1A1A1A"/>
          <w:sz w:val="21"/>
          <w:szCs w:val="21"/>
        </w:rPr>
        <w:t xml:space="preserve">Action: </w:t>
      </w:r>
      <w:r>
        <w:rPr>
          <w:rFonts w:ascii="Arial" w:cs="Arial" w:eastAsia="Arial" w:hAnsi="Arial"/>
          <w:b w:val="false"/>
          <w:bCs w:val="false"/>
          <w:i w:val="false"/>
          <w:iCs w:val="false"/>
          <w:color w:val="1A1A1A"/>
          <w:sz w:val="21"/>
          <w:szCs w:val="21"/>
        </w:rPr>
        <w:t xml:space="preserve">declare a new selector; populate the variant-specific curves (which may start at T4 until evidence accumulates); update the consumer contract to require the selector value; bump the cell version (minor).</w:t>
      </w:r>
    </w:p>
    <w:p>
      <w:pPr>
        <w:pStyle w:val="Heading3"/>
        <w:spacing w:after="100" w:before="220"/>
      </w:pPr>
      <w:r>
        <w:rPr>
          <w:rFonts w:ascii="Arial" w:cs="Arial" w:eastAsia="Arial" w:hAnsi="Arial"/>
          <w:b/>
          <w:bCs/>
          <w:color w:val="1A1A1A"/>
          <w:sz w:val="22"/>
          <w:szCs w:val="22"/>
        </w:rPr>
        <w:t xml:space="preserve">B3 — change a conditioner</w:t>
      </w:r>
    </w:p>
    <w:p>
      <w:pPr>
        <w:spacing w:after="140" w:line="300"/>
      </w:pPr>
      <w:r>
        <w:rPr>
          <w:rFonts w:ascii="Arial" w:cs="Arial" w:eastAsia="Arial" w:hAnsi="Arial"/>
          <w:b w:val="false"/>
          <w:bCs w:val="false"/>
          <w:i w:val="false"/>
          <w:iCs w:val="false"/>
          <w:color w:val="1A1A1A"/>
          <w:sz w:val="21"/>
          <w:szCs w:val="21"/>
        </w:rPr>
        <w:t xml:space="preserve">The new evidence demonstrates that an event-time state — wind direction, stow position, debris field — shifts curve parameters in a way the existing curve does not represent. This is structurally different from B2 because conditioners are event-time, not asset-fixed.</w:t>
      </w:r>
    </w:p>
    <w:p>
      <w:pPr>
        <w:spacing w:after="140" w:line="300"/>
      </w:pPr>
      <w:r>
        <w:rPr>
          <w:rFonts w:ascii="Arial" w:cs="Arial" w:eastAsia="Arial" w:hAnsi="Arial"/>
          <w:b/>
          <w:bCs/>
          <w:i w:val="false"/>
          <w:iCs w:val="false"/>
          <w:color w:val="1A1A1A"/>
          <w:sz w:val="21"/>
          <w:szCs w:val="21"/>
        </w:rPr>
        <w:t xml:space="preserve">Action: </w:t>
      </w:r>
      <w:r>
        <w:rPr>
          <w:rFonts w:ascii="Arial" w:cs="Arial" w:eastAsia="Arial" w:hAnsi="Arial"/>
          <w:b w:val="false"/>
          <w:bCs w:val="false"/>
          <w:i w:val="false"/>
          <w:iCs w:val="false"/>
          <w:color w:val="1A1A1A"/>
          <w:sz w:val="21"/>
          <w:szCs w:val="21"/>
        </w:rPr>
        <w:t xml:space="preserve">add the conditioner (or revise its multiplier); update the source-to-parameter map for the affected rows; update the binding signature in the curve’s contract; bump the cell version (minor).</w:t>
      </w:r>
    </w:p>
    <w:p>
      <w:pPr>
        <w:pStyle w:val="Heading3"/>
        <w:spacing w:after="100" w:before="220"/>
      </w:pPr>
      <w:r>
        <w:rPr>
          <w:rFonts w:ascii="Arial" w:cs="Arial" w:eastAsia="Arial" w:hAnsi="Arial"/>
          <w:b/>
          <w:bCs/>
          <w:color w:val="1A1A1A"/>
          <w:sz w:val="22"/>
          <w:szCs w:val="22"/>
        </w:rPr>
        <w:t xml:space="preserve">B4 — reopen the x-axis</w:t>
      </w:r>
    </w:p>
    <w:p>
      <w:pPr>
        <w:spacing w:after="140" w:line="300"/>
      </w:pPr>
      <w:r>
        <w:rPr>
          <w:rFonts w:ascii="Arial" w:cs="Arial" w:eastAsia="Arial" w:hAnsi="Arial"/>
          <w:b w:val="false"/>
          <w:bCs w:val="false"/>
          <w:i w:val="false"/>
          <w:iCs w:val="false"/>
          <w:color w:val="1A1A1A"/>
          <w:sz w:val="21"/>
          <w:szCs w:val="21"/>
        </w:rPr>
        <w:t xml:space="preserve">The new evidence demonstrates that the existing curve’s x-axis variable does not adequately describe the damage. Example: a curve indexed by 1-minute peak gust is shown to miss meaningful dependence on gust duration. The axis itself is wrong, not just the parameters.</w:t>
      </w:r>
    </w:p>
    <w:p>
      <w:pPr>
        <w:spacing w:after="140" w:line="300"/>
      </w:pPr>
      <w:r>
        <w:rPr>
          <w:rFonts w:ascii="Arial" w:cs="Arial" w:eastAsia="Arial" w:hAnsi="Arial"/>
          <w:b/>
          <w:bCs/>
          <w:i w:val="false"/>
          <w:iCs w:val="false"/>
          <w:color w:val="1A1A1A"/>
          <w:sz w:val="21"/>
          <w:szCs w:val="21"/>
        </w:rPr>
        <w:t xml:space="preserve">Action: </w:t>
      </w:r>
      <w:r>
        <w:rPr>
          <w:rFonts w:ascii="Arial" w:cs="Arial" w:eastAsia="Arial" w:hAnsi="Arial"/>
          <w:b w:val="false"/>
          <w:bCs w:val="false"/>
          <w:i w:val="false"/>
          <w:iCs w:val="false"/>
          <w:color w:val="1A1A1A"/>
          <w:sz w:val="21"/>
          <w:szCs w:val="21"/>
        </w:rPr>
        <w:t xml:space="preserve">this is a major event. The curve is rebuilt around a new axis. The cell version goes major. Downstream consumers must be informed; the previous version remains pinned and queryable.</w:t>
      </w:r>
    </w:p>
    <w:p>
      <w:pPr>
        <w:pStyle w:val="Heading3"/>
        <w:spacing w:after="100" w:before="220"/>
      </w:pPr>
      <w:r>
        <w:rPr>
          <w:rFonts w:ascii="Arial" w:cs="Arial" w:eastAsia="Arial" w:hAnsi="Arial"/>
          <w:b/>
          <w:bCs/>
          <w:color w:val="1A1A1A"/>
          <w:sz w:val="22"/>
          <w:szCs w:val="22"/>
        </w:rPr>
        <w:t xml:space="preserve">B5 — update an assumption</w:t>
      </w:r>
    </w:p>
    <w:p>
      <w:pPr>
        <w:spacing w:after="140" w:line="300"/>
      </w:pPr>
      <w:r>
        <w:rPr>
          <w:rFonts w:ascii="Arial" w:cs="Arial" w:eastAsia="Arial" w:hAnsi="Arial"/>
          <w:b w:val="false"/>
          <w:bCs w:val="false"/>
          <w:i w:val="false"/>
          <w:iCs w:val="false"/>
          <w:color w:val="1A1A1A"/>
          <w:sz w:val="21"/>
          <w:szCs w:val="21"/>
        </w:rPr>
        <w:t xml:space="preserve">The new evidence does not move parameters but changes the scope of the curve — e.g. a tightening of the saturation cap because the standard cap was demonstrated to overestimate, or a tightening of the no-extrapolation range because the new evidence shrinks the valid range.</w:t>
      </w:r>
    </w:p>
    <w:p>
      <w:pPr>
        <w:spacing w:after="140" w:line="300"/>
      </w:pPr>
      <w:r>
        <w:rPr>
          <w:rFonts w:ascii="Arial" w:cs="Arial" w:eastAsia="Arial" w:hAnsi="Arial"/>
          <w:b/>
          <w:bCs/>
          <w:i w:val="false"/>
          <w:iCs w:val="false"/>
          <w:color w:val="1A1A1A"/>
          <w:sz w:val="21"/>
          <w:szCs w:val="21"/>
        </w:rPr>
        <w:t xml:space="preserve">Action: </w:t>
      </w:r>
      <w:r>
        <w:rPr>
          <w:rFonts w:ascii="Arial" w:cs="Arial" w:eastAsia="Arial" w:hAnsi="Arial"/>
          <w:b w:val="false"/>
          <w:bCs w:val="false"/>
          <w:i w:val="false"/>
          <w:iCs w:val="false"/>
          <w:color w:val="1A1A1A"/>
          <w:sz w:val="21"/>
          <w:szCs w:val="21"/>
        </w:rPr>
        <w:t xml:space="preserve">update the scope and assumption register; the capability declaration may tighten (some metrics withdrawn or further bounded); bump the cell version (minor).</w:t>
      </w:r>
    </w:p>
    <w:p>
      <w:pPr>
        <w:pStyle w:val="Heading3"/>
        <w:spacing w:after="100" w:before="220"/>
      </w:pPr>
      <w:r>
        <w:rPr>
          <w:rFonts w:ascii="Arial" w:cs="Arial" w:eastAsia="Arial" w:hAnsi="Arial"/>
          <w:b/>
          <w:bCs/>
          <w:color w:val="1A1A1A"/>
          <w:sz w:val="22"/>
          <w:szCs w:val="22"/>
        </w:rPr>
        <w:t xml:space="preserve">B6 — shelf in the evidence backlog</w:t>
      </w:r>
    </w:p>
    <w:p>
      <w:pPr>
        <w:spacing w:after="140" w:line="300"/>
      </w:pPr>
      <w:r>
        <w:rPr>
          <w:rFonts w:ascii="Arial" w:cs="Arial" w:eastAsia="Arial" w:hAnsi="Arial"/>
          <w:b w:val="false"/>
          <w:bCs w:val="false"/>
          <w:i w:val="false"/>
          <w:iCs w:val="false"/>
          <w:color w:val="1A1A1A"/>
          <w:sz w:val="21"/>
          <w:szCs w:val="21"/>
        </w:rPr>
        <w:t xml:space="preserve">The new evidence is interesting but cannot be acted on yet — it points at a gap, names a question, but does not yet justify a parameter change. Most expert-elicitation outputs and many early forensic reports land here.</w:t>
      </w:r>
    </w:p>
    <w:p>
      <w:pPr>
        <w:spacing w:after="140" w:line="300"/>
      </w:pPr>
      <w:r>
        <w:rPr>
          <w:rFonts w:ascii="Arial" w:cs="Arial" w:eastAsia="Arial" w:hAnsi="Arial"/>
          <w:b/>
          <w:bCs/>
          <w:i w:val="false"/>
          <w:iCs w:val="false"/>
          <w:color w:val="1A1A1A"/>
          <w:sz w:val="21"/>
          <w:szCs w:val="21"/>
        </w:rPr>
        <w:t xml:space="preserve">Action: </w:t>
      </w:r>
      <w:r>
        <w:rPr>
          <w:rFonts w:ascii="Arial" w:cs="Arial" w:eastAsia="Arial" w:hAnsi="Arial"/>
          <w:b w:val="false"/>
          <w:bCs w:val="false"/>
          <w:i w:val="false"/>
          <w:iCs w:val="false"/>
          <w:color w:val="1A1A1A"/>
          <w:sz w:val="21"/>
          <w:szCs w:val="21"/>
        </w:rPr>
        <w:t xml:space="preserve">add a row to the cell’s evidence backlog with the artifact, the parameter it would affect, the tier it would carry, and the condition that would move it from backlog to action (e.g. "one corroborating peer-reviewed paper"). The curve does not change.</w:t>
      </w:r>
    </w:p>
    <w:p>
      <w:pPr>
        <w:pStyle w:val="Heading2"/>
        <w:spacing w:after="140" w:before="320"/>
      </w:pPr>
      <w:r>
        <w:rPr>
          <w:rFonts w:ascii="Arial" w:cs="Arial" w:eastAsia="Arial" w:hAnsi="Arial"/>
          <w:b/>
          <w:bCs/>
          <w:color w:val="1A1A1A"/>
          <w:sz w:val="26"/>
          <w:szCs w:val="26"/>
        </w:rPr>
        <w:t xml:space="preserve">When to choose which branch</w:t>
      </w:r>
    </w:p>
    <w:p>
      <w:pPr>
        <w:spacing w:after="140" w:line="300"/>
      </w:pPr>
      <w:r>
        <w:rPr>
          <w:rFonts w:ascii="Arial" w:cs="Arial" w:eastAsia="Arial" w:hAnsi="Arial"/>
          <w:b w:val="false"/>
          <w:bCs w:val="false"/>
          <w:i w:val="false"/>
          <w:iCs w:val="false"/>
          <w:color w:val="1A1A1A"/>
          <w:sz w:val="21"/>
          <w:szCs w:val="21"/>
        </w:rPr>
        <w:t xml:space="preserve">A short decision card. The card lives in every cell’s ingestion log so the rationale is visible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Branch</w:t>
            </w:r>
          </w:p>
        </w:tc>
        <w:tc>
          <w:tcPr>
            <w:tcW w:type="dxa" w:w="358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Choose when</w:t>
            </w:r>
          </w:p>
        </w:tc>
        <w:tc>
          <w:tcPr>
            <w:tcW w:type="dxa" w:w="358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Do not choose when</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B1 — update parameter</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artifact targets a specific parameter; the asset, hazard, and axis match the existing curve; tier is determinable.</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artifact reveals a hidden split (use B2) or a hidden axis dependence (use B4).</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B2 — add selector</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Two sub-populations of the asset are shown to behave differently and a fixed attribute distinguishes them.</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split is event-time (use B3) or the data is too thin to define variant curves (use B6).</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B3 — change conditioner</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 event-time state shifts curve parameters and the shift is paired-observable.</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state is actually an asset attribute (use B2) or no paired observations exist yet (use B6).</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B4 — reopen axis</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existing axis fails to discriminate damage levels even with good parameters.</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axis is fine but the parameters are off (use B1).</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B5 — update assumption</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artifact does not move parameters but tightens or widens the curve’s scope.</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artifact moves a parameter (use B1) or implies a split (use B2).</w:t>
            </w:r>
          </w:p>
        </w:tc>
      </w:tr>
      <w:tr>
        <w:trPr>
          <w:tblHeader w:val="false"/>
        </w:trP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B6 — shelf</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artifact is real evidence but not yet sufficient to act on.</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artifact is sufficient to act on (use B1–B5).</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What the protocol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The thing the protocol prevents most often: silent recalibration.</w:t>
            </w:r>
          </w:p>
          <w:p>
            <w:pPr>
              <w:spacing w:after="140" w:line="300"/>
            </w:pPr>
            <w:r>
              <w:rPr>
                <w:rFonts w:ascii="Arial" w:cs="Arial" w:eastAsia="Arial" w:hAnsi="Arial"/>
                <w:b w:val="false"/>
                <w:bCs w:val="false"/>
                <w:i w:val="false"/>
                <w:iCs w:val="false"/>
                <w:color w:val="1A1A1A"/>
                <w:sz w:val="21"/>
                <w:szCs w:val="21"/>
              </w:rPr>
              <w:t xml:space="preserve">Without the protocol, the default response to a new paper is to "update the curve" by which the engineer means re-fitting through the union of old anchors and new anchors. This silently demotes T1 rows to T2 by mixing them with new evidence at a different tier, silently overwrites the cell version without consumers seeing the change, and silently breaks the consumer contract because the capability declaration is not updated.</w:t>
            </w:r>
          </w:p>
          <w:p>
            <w:pPr>
              <w:spacing w:after="140" w:line="300"/>
            </w:pPr>
            <w:r>
              <w:rPr>
                <w:rFonts w:ascii="Arial" w:cs="Arial" w:eastAsia="Arial" w:hAnsi="Arial"/>
                <w:b w:val="false"/>
                <w:bCs w:val="false"/>
                <w:i w:val="false"/>
                <w:iCs w:val="false"/>
                <w:color w:val="1A1A1A"/>
                <w:sz w:val="21"/>
                <w:szCs w:val="21"/>
              </w:rPr>
              <w:t xml:space="preserve">The six-branch protocol forces every one of those decisions to be named and recorded. The cell version always moves; the changelog always carries a reason; the capability declaration always reflects the new state.</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8. Evidence freshness and staleness</w:t>
      </w:r>
    </w:p>
    <w:p>
      <w:pPr>
        <w:spacing w:after="140" w:line="300"/>
      </w:pPr>
      <w:r>
        <w:rPr>
          <w:rFonts w:ascii="Arial" w:cs="Arial" w:eastAsia="Arial" w:hAnsi="Arial"/>
          <w:b w:val="false"/>
          <w:bCs w:val="false"/>
          <w:i w:val="false"/>
          <w:iCs w:val="false"/>
          <w:color w:val="1A1A1A"/>
          <w:sz w:val="21"/>
          <w:szCs w:val="21"/>
        </w:rPr>
        <w:t xml:space="preserve">A curve does not stay valid forever. It goes stale when its evidence base is overtaken by reality — by new claims accumulating, by technology changing, by post-event divergence. This section names the three staleness modes and the triggers that should prompt re-curation.</w:t>
      </w:r>
    </w:p>
    <w:p>
      <w:pPr>
        <w:pStyle w:val="Heading2"/>
        <w:spacing w:after="140" w:before="320"/>
      </w:pPr>
      <w:r>
        <w:rPr>
          <w:rFonts w:ascii="Arial" w:cs="Arial" w:eastAsia="Arial" w:hAnsi="Arial"/>
          <w:b/>
          <w:bCs/>
          <w:color w:val="1A1A1A"/>
          <w:sz w:val="26"/>
          <w:szCs w:val="26"/>
        </w:rPr>
        <w:t xml:space="preserve">The three staleness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Mode</w:t>
            </w:r>
          </w:p>
        </w:tc>
        <w:tc>
          <w:tcPr>
            <w:tcW w:type="dxa" w:w="368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happens</w:t>
            </w:r>
          </w:p>
        </w:tc>
        <w:tc>
          <w:tcPr>
            <w:tcW w:type="dxa" w:w="368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Trigger to re-curate</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Accumulation staleness</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New observations have accumulated to the point that the existing curve’s anchors are no longer the best estimate.</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 new claim-level observations on the same asset class under the same hazard (suggested: N ≥ 10 for T1 promotion; cell-specific).</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Technology staleness</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asset class has materially changed (e.g. panel composition shifts from mono-Si to bifacial; turbine blade lengths increase 40 % from when the curve was built).</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fleet-weighted prevalence of the new variant exceeds (suggested) 25 % of new builds; or an OEM-confirmed material change in the asset.</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Post-event divergence</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notable event has produced losses materially different from what the curve predicted, with the divergence not explainable by hazard inputs.</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Predicted vs realized losses diverge by more than (suggested) 2× on at least one notable event, with engineering attribution available.</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What re-curation produces</w:t>
      </w:r>
    </w:p>
    <w:p>
      <w:pPr>
        <w:spacing w:after="140" w:line="300"/>
      </w:pPr>
      <w:r>
        <w:rPr>
          <w:rFonts w:ascii="Arial" w:cs="Arial" w:eastAsia="Arial" w:hAnsi="Arial"/>
          <w:b w:val="false"/>
          <w:bCs w:val="false"/>
          <w:i w:val="false"/>
          <w:iCs w:val="false"/>
          <w:color w:val="1A1A1A"/>
          <w:sz w:val="21"/>
          <w:szCs w:val="21"/>
        </w:rPr>
        <w:t xml:space="preserve">Re-curation is not the same as parameter update. It is a re-examination of </w:t>
      </w:r>
      <w:r>
        <w:rPr>
          <w:rFonts w:ascii="Arial" w:cs="Arial" w:eastAsia="Arial" w:hAnsi="Arial"/>
          <w:b/>
          <w:bCs/>
          <w:i w:val="false"/>
          <w:iCs w:val="false"/>
          <w:color w:val="1A1A1A"/>
          <w:sz w:val="21"/>
          <w:szCs w:val="21"/>
        </w:rPr>
        <w:t xml:space="preserve">every</w:t>
      </w:r>
      <w:r>
        <w:rPr>
          <w:rFonts w:ascii="Arial" w:cs="Arial" w:eastAsia="Arial" w:hAnsi="Arial"/>
          <w:b w:val="false"/>
          <w:bCs w:val="false"/>
          <w:i w:val="false"/>
          <w:iCs w:val="false"/>
          <w:color w:val="1A1A1A"/>
          <w:sz w:val="21"/>
          <w:szCs w:val="21"/>
        </w:rPr>
        <w:t xml:space="preserve"> parameter row in the dossier — its tier, its provenance, the artifact behind it — in light of the new state of the world. The output is one of:</w:t>
      </w:r>
    </w:p>
    <w:p>
      <w:pPr>
        <w:spacing w:after="100" w:line="280"/>
        <w:ind w:left="540" w:hanging="360"/>
      </w:pPr>
      <w:r>
        <w:rPr>
          <w:rFonts w:ascii="Arial" w:cs="Arial" w:eastAsia="Arial" w:hAnsi="Arial"/>
          <w:b/>
          <w:bCs/>
          <w:color w:val="1A1A1A"/>
          <w:sz w:val="21"/>
          <w:szCs w:val="21"/>
        </w:rPr>
        <w:t xml:space="preserve">1. </w:t>
      </w:r>
      <w:r>
        <w:rPr>
          <w:rFonts w:ascii="Arial" w:cs="Arial" w:eastAsia="Arial" w:hAnsi="Arial"/>
          <w:b/>
          <w:bCs/>
          <w:i w:val="false"/>
          <w:iCs w:val="false"/>
          <w:color w:val="1A1A1A"/>
          <w:sz w:val="21"/>
          <w:szCs w:val="21"/>
        </w:rPr>
        <w:t xml:space="preserve">Confirmed-as-is. </w:t>
      </w:r>
      <w:r>
        <w:rPr>
          <w:rFonts w:ascii="Arial" w:cs="Arial" w:eastAsia="Arial" w:hAnsi="Arial"/>
          <w:b w:val="false"/>
          <w:bCs w:val="false"/>
          <w:i w:val="false"/>
          <w:iCs w:val="false"/>
          <w:color w:val="1A1A1A"/>
          <w:sz w:val="21"/>
          <w:szCs w:val="21"/>
        </w:rPr>
        <w:t xml:space="preserve">The new state does not change the parameters or tiers. The cell’s "last re-curated" date is bumped and the artifact behind the re-curation is added to the dossier.</w:t>
      </w:r>
    </w:p>
    <w:p>
      <w:pPr>
        <w:spacing w:after="100" w:line="280"/>
        <w:ind w:left="540" w:hanging="360"/>
      </w:pPr>
      <w:r>
        <w:rPr>
          <w:rFonts w:ascii="Arial" w:cs="Arial" w:eastAsia="Arial" w:hAnsi="Arial"/>
          <w:b/>
          <w:bCs/>
          <w:color w:val="1A1A1A"/>
          <w:sz w:val="21"/>
          <w:szCs w:val="21"/>
        </w:rPr>
        <w:t xml:space="preserve">2. </w:t>
      </w:r>
      <w:r>
        <w:rPr>
          <w:rFonts w:ascii="Arial" w:cs="Arial" w:eastAsia="Arial" w:hAnsi="Arial"/>
          <w:b/>
          <w:bCs/>
          <w:i w:val="false"/>
          <w:iCs w:val="false"/>
          <w:color w:val="1A1A1A"/>
          <w:sz w:val="21"/>
          <w:szCs w:val="21"/>
        </w:rPr>
        <w:t xml:space="preserve">Patch update. </w:t>
      </w:r>
      <w:r>
        <w:rPr>
          <w:rFonts w:ascii="Arial" w:cs="Arial" w:eastAsia="Arial" w:hAnsi="Arial"/>
          <w:b w:val="false"/>
          <w:bCs w:val="false"/>
          <w:i w:val="false"/>
          <w:iCs w:val="false"/>
          <w:color w:val="1A1A1A"/>
          <w:sz w:val="21"/>
          <w:szCs w:val="21"/>
        </w:rPr>
        <w:t xml:space="preserve">One or more parameters move under branch B1 of the ingestion protocol; the dossier reflects the new values; capability declaration unchanged.</w:t>
      </w:r>
    </w:p>
    <w:p>
      <w:pPr>
        <w:spacing w:after="100" w:line="280"/>
        <w:ind w:left="540" w:hanging="360"/>
      </w:pPr>
      <w:r>
        <w:rPr>
          <w:rFonts w:ascii="Arial" w:cs="Arial" w:eastAsia="Arial" w:hAnsi="Arial"/>
          <w:b/>
          <w:bCs/>
          <w:color w:val="1A1A1A"/>
          <w:sz w:val="21"/>
          <w:szCs w:val="21"/>
        </w:rPr>
        <w:t xml:space="preserve">3. </w:t>
      </w:r>
      <w:r>
        <w:rPr>
          <w:rFonts w:ascii="Arial" w:cs="Arial" w:eastAsia="Arial" w:hAnsi="Arial"/>
          <w:b/>
          <w:bCs/>
          <w:i w:val="false"/>
          <w:iCs w:val="false"/>
          <w:color w:val="1A1A1A"/>
          <w:sz w:val="21"/>
          <w:szCs w:val="21"/>
        </w:rPr>
        <w:t xml:space="preserve">Minor version. </w:t>
      </w:r>
      <w:r>
        <w:rPr>
          <w:rFonts w:ascii="Arial" w:cs="Arial" w:eastAsia="Arial" w:hAnsi="Arial"/>
          <w:b w:val="false"/>
          <w:bCs w:val="false"/>
          <w:i w:val="false"/>
          <w:iCs w:val="false"/>
          <w:color w:val="1A1A1A"/>
          <w:sz w:val="21"/>
          <w:szCs w:val="21"/>
        </w:rPr>
        <w:t xml:space="preserve">Selectors, conditioners, or assumptions move (branches B2/B3/B5); capability declaration may tighten or relax.</w:t>
      </w:r>
    </w:p>
    <w:p>
      <w:pPr>
        <w:spacing w:after="100" w:line="280"/>
        <w:ind w:left="540" w:hanging="360"/>
      </w:pPr>
      <w:r>
        <w:rPr>
          <w:rFonts w:ascii="Arial" w:cs="Arial" w:eastAsia="Arial" w:hAnsi="Arial"/>
          <w:b/>
          <w:bCs/>
          <w:color w:val="1A1A1A"/>
          <w:sz w:val="21"/>
          <w:szCs w:val="21"/>
        </w:rPr>
        <w:t xml:space="preserve">4. </w:t>
      </w:r>
      <w:r>
        <w:rPr>
          <w:rFonts w:ascii="Arial" w:cs="Arial" w:eastAsia="Arial" w:hAnsi="Arial"/>
          <w:b/>
          <w:bCs/>
          <w:i w:val="false"/>
          <w:iCs w:val="false"/>
          <w:color w:val="1A1A1A"/>
          <w:sz w:val="21"/>
          <w:szCs w:val="21"/>
        </w:rPr>
        <w:t xml:space="preserve">Major version. </w:t>
      </w:r>
      <w:r>
        <w:rPr>
          <w:rFonts w:ascii="Arial" w:cs="Arial" w:eastAsia="Arial" w:hAnsi="Arial"/>
          <w:b w:val="false"/>
          <w:bCs w:val="false"/>
          <w:i w:val="false"/>
          <w:iCs w:val="false"/>
          <w:color w:val="1A1A1A"/>
          <w:sz w:val="21"/>
          <w:szCs w:val="21"/>
        </w:rPr>
        <w:t xml:space="preserve">The axis or fundamental form changes (branch B4); the previous version is pinned and the new version is announced to consumers.</w:t>
      </w:r>
    </w:p>
    <w:p>
      <w:pPr>
        <w:pStyle w:val="Heading2"/>
        <w:spacing w:after="140" w:before="320"/>
      </w:pPr>
      <w:r>
        <w:rPr>
          <w:rFonts w:ascii="Arial" w:cs="Arial" w:eastAsia="Arial" w:hAnsi="Arial"/>
          <w:b/>
          <w:bCs/>
          <w:color w:val="1A1A1A"/>
          <w:sz w:val="26"/>
          <w:szCs w:val="26"/>
        </w:rPr>
        <w:t xml:space="preserve">The freshness card every cell carries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FRESHNESS CARD — hail × solar (v1.0)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  Last re-curated:        2024-09-15                          │</w:t>
            </w:r>
          </w:p>
          <w:p>
            <w:pPr>
              <w:spacing w:after="0" w:before="0" w:line="240"/>
            </w:pPr>
            <w:r>
              <w:rPr>
                <w:rFonts w:ascii="Consolas" w:cs="Consolas" w:eastAsia="Consolas" w:hAnsi="Consolas"/>
                <w:color w:val="1A1A1A"/>
                <w:sz w:val="17"/>
                <w:szCs w:val="17"/>
              </w:rPr>
              <w:t xml:space="preserve">   │  Next scheduled review:  2025-09-15 (annual)                 │</w:t>
            </w:r>
          </w:p>
          <w:p>
            <w:pPr>
              <w:spacing w:after="0" w:before="0" w:line="240"/>
            </w:pPr>
            <w:r>
              <w:rPr>
                <w:rFonts w:ascii="Consolas" w:cs="Consolas" w:eastAsia="Consolas" w:hAnsi="Consolas"/>
                <w:color w:val="1A1A1A"/>
                <w:sz w:val="17"/>
                <w:szCs w:val="17"/>
              </w:rPr>
              <w:t xml:space="preserve">   │  Accumulation trigger:   10 new attributable claims          │</w:t>
            </w:r>
          </w:p>
          <w:p>
            <w:pPr>
              <w:spacing w:after="0" w:before="0" w:line="240"/>
            </w:pPr>
            <w:r>
              <w:rPr>
                <w:rFonts w:ascii="Consolas" w:cs="Consolas" w:eastAsia="Consolas" w:hAnsi="Consolas"/>
                <w:color w:val="1A1A1A"/>
                <w:sz w:val="17"/>
                <w:szCs w:val="17"/>
              </w:rPr>
              <w:t xml:space="preserve">   │  Technology trigger:     bifacial fleet share &gt; 25 %         │</w:t>
            </w:r>
          </w:p>
          <w:p>
            <w:pPr>
              <w:spacing w:after="0" w:before="0" w:line="240"/>
            </w:pPr>
            <w:r>
              <w:rPr>
                <w:rFonts w:ascii="Consolas" w:cs="Consolas" w:eastAsia="Consolas" w:hAnsi="Consolas"/>
                <w:color w:val="1A1A1A"/>
                <w:sz w:val="17"/>
                <w:szCs w:val="17"/>
              </w:rPr>
              <w:t xml:space="preserve">   │  Divergence trigger:     |obs - pred| &gt; 2× on notable event  │</w:t>
            </w:r>
          </w:p>
          <w:p>
            <w:pPr>
              <w:spacing w:after="0" w:before="0" w:line="240"/>
            </w:pPr>
            <w:r>
              <w:rPr>
                <w:rFonts w:ascii="Consolas" w:cs="Consolas" w:eastAsia="Consolas" w:hAnsi="Consolas"/>
                <w:color w:val="1A1A1A"/>
                <w:sz w:val="17"/>
                <w:szCs w:val="17"/>
              </w:rPr>
              <w:t xml:space="preserve">   │  Open backlog items:     3 (see §9 of dossier)               │</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tc>
      </w:tr>
    </w:tbl>
    <w:p>
      <w:pPr>
        <w:spacing w:after="200"/>
      </w:pPr>
      <w:r>
        <w:t xml:space="preserve"/>
      </w:r>
    </w:p>
    <w:p>
      <w:pPr>
        <w:spacing w:after="140" w:line="300"/>
      </w:pPr>
      <w:r>
        <w:rPr>
          <w:rFonts w:ascii="Arial" w:cs="Arial" w:eastAsia="Arial" w:hAnsi="Arial"/>
          <w:b w:val="false"/>
          <w:bCs w:val="false"/>
          <w:i w:val="false"/>
          <w:iCs w:val="false"/>
          <w:color w:val="1A1A1A"/>
          <w:sz w:val="21"/>
          <w:szCs w:val="21"/>
        </w:rPr>
        <w:t xml:space="preserve">The freshness card sits next to the source-to-parameter table. Together they answer the two questions a reviewer asks about any curve: </w:t>
      </w:r>
      <w:r>
        <w:rPr>
          <w:rFonts w:ascii="Arial" w:cs="Arial" w:eastAsia="Arial" w:hAnsi="Arial"/>
          <w:b w:val="false"/>
          <w:bCs w:val="false"/>
          <w:i/>
          <w:iCs/>
          <w:color w:val="1A1A1A"/>
          <w:sz w:val="21"/>
          <w:szCs w:val="21"/>
        </w:rPr>
        <w:t xml:space="preserve">what is the evidence?</w:t>
      </w:r>
      <w:r>
        <w:rPr>
          <w:rFonts w:ascii="Arial" w:cs="Arial" w:eastAsia="Arial" w:hAnsi="Arial"/>
          <w:b w:val="false"/>
          <w:bCs w:val="false"/>
          <w:i w:val="false"/>
          <w:iCs w:val="false"/>
          <w:color w:val="1A1A1A"/>
          <w:sz w:val="21"/>
          <w:szCs w:val="21"/>
        </w:rPr>
        <w:t xml:space="preserve"> and </w:t>
      </w:r>
      <w:r>
        <w:rPr>
          <w:rFonts w:ascii="Arial" w:cs="Arial" w:eastAsia="Arial" w:hAnsi="Arial"/>
          <w:b w:val="false"/>
          <w:bCs w:val="false"/>
          <w:i/>
          <w:iCs/>
          <w:color w:val="1A1A1A"/>
          <w:sz w:val="21"/>
          <w:szCs w:val="21"/>
        </w:rPr>
        <w:t xml:space="preserve">how old is the evidence?</w:t>
      </w:r>
    </w:p>
    <w:p>
      <w:pPr>
        <w:pStyle w:val="Heading1"/>
        <w:spacing w:after="200" w:before="480"/>
      </w:pPr>
      <w:r>
        <w:rPr>
          <w:rFonts w:ascii="Arial" w:cs="Arial" w:eastAsia="Arial" w:hAnsi="Arial"/>
          <w:b/>
          <w:bCs/>
          <w:color w:val="1A1A1A"/>
          <w:sz w:val="40"/>
          <w:szCs w:val="40"/>
        </w:rPr>
        <w:t xml:space="preserve">9. The cell evidence dossier template</w:t>
      </w:r>
    </w:p>
    <w:p>
      <w:pPr>
        <w:spacing w:after="140" w:line="300"/>
      </w:pPr>
      <w:r>
        <w:rPr>
          <w:rFonts w:ascii="Arial" w:cs="Arial" w:eastAsia="Arial" w:hAnsi="Arial"/>
          <w:b w:val="false"/>
          <w:bCs w:val="false"/>
          <w:i w:val="false"/>
          <w:iCs w:val="false"/>
          <w:color w:val="1A1A1A"/>
          <w:sz w:val="21"/>
          <w:szCs w:val="21"/>
        </w:rPr>
        <w:t xml:space="preserve">Every cell carries a dossier — the durable artifact that describes the evidence behind the curve. The dossier is what a reviewer reads; the source_context folder is what they reach into when the dossier is not enough. This section specifies the template every cell’s dossier follows.</w:t>
      </w:r>
    </w:p>
    <w:p>
      <w:pPr>
        <w:pStyle w:val="Heading2"/>
        <w:spacing w:after="140" w:before="320"/>
      </w:pPr>
      <w:r>
        <w:rPr>
          <w:rFonts w:ascii="Arial" w:cs="Arial" w:eastAsia="Arial" w:hAnsi="Arial"/>
          <w:b/>
          <w:bCs/>
          <w:color w:val="1A1A1A"/>
          <w:sz w:val="26"/>
          <w:szCs w:val="26"/>
        </w:rPr>
        <w:t xml:space="preserve">The dossier sections</w:t>
      </w:r>
    </w:p>
    <w:p>
      <w:pPr>
        <w:spacing w:after="140" w:line="300"/>
      </w:pPr>
      <w:r>
        <w:rPr>
          <w:rFonts w:ascii="Arial" w:cs="Arial" w:eastAsia="Arial" w:hAnsi="Arial"/>
          <w:b w:val="false"/>
          <w:bCs w:val="false"/>
          <w:i w:val="false"/>
          <w:iCs w:val="false"/>
          <w:color w:val="1A1A1A"/>
          <w:sz w:val="21"/>
          <w:szCs w:val="21"/>
        </w:rPr>
        <w:t xml:space="preserve">Eleven sections in fixed order. Cells skip sections only by writing "Not applicable" with a reason — never by silent omission.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t>
            </w:r>
          </w:p>
        </w:tc>
        <w:tc>
          <w:tcPr>
            <w:tcW w:type="dxa" w:w="24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Section</w:t>
            </w:r>
          </w:p>
        </w:tc>
        <w:tc>
          <w:tcPr>
            <w:tcW w:type="dxa" w:w="61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contains</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1</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Header</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Cell identifier; curve version; capability declaration; last-recurated date; author and reviewer.</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Scope</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Asset class boundary (what is in, what is out); hazard variable on the x-axis; intensity range of validity; explicit out-of-scope list.</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Failure-unit list</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Each failure-unit named (panel glass, mounting frame, inverter, racking); capex weight; whether it has a curve in this version.</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Source list</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Every artifact used, with one-paragraph summary of what it establishes, its tier, and its location in source_context.</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5</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Source-to-parameter table</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§4 schema, populated per failure-unit.</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Tier-mix narrative</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One paragraph per failure-unit explaining which parameters lean on which tiers and the weakest-tier reading.</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Capability derivation</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§6 matrix walk: weakest tier → metrics_supportable; what is withheld and why.</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8</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Assumption register</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Every modeling assumption named (e.g. "no consideration of accumulated panel degradation"); source of the assumption; impact if assumption fails.</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9</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backlog</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Open items that would promote tiers or close assumptions; for each item: target parameter, would-be tier, evidence required.</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10</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Freshness card</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§8 card.</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11</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Changelog</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Every version, what changed, which branch (B1–B6) of the ingestion protocol, who approved.</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The minimum dossier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A cell with no T1 evidence anywhere can still ship a dossier.</w:t>
            </w:r>
          </w:p>
          <w:p>
            <w:pPr>
              <w:spacing w:after="140" w:line="300"/>
            </w:pPr>
            <w:r>
              <w:rPr>
                <w:rFonts w:ascii="Arial" w:cs="Arial" w:eastAsia="Arial" w:hAnsi="Arial"/>
                <w:b w:val="false"/>
                <w:bCs w:val="false"/>
                <w:i w:val="false"/>
                <w:iCs w:val="false"/>
                <w:color w:val="1A1A1A"/>
                <w:sz w:val="21"/>
                <w:szCs w:val="21"/>
              </w:rPr>
              <w:t xml:space="preserve">Sections 1–3 (header, scope, failure-unit list) are mandatory. Section 4 (source list) is mandatory but can be entirely T4 with backlog flags. Section 5 (source-to-parameter table) is mandatory; T4 rows are populated like any other row, with the source named and the backlog item written. Section 7 (capability derivation) will read </w:t>
            </w:r>
            <w:r>
              <w:rPr>
                <w:rFonts w:ascii="Consolas" w:cs="Consolas" w:eastAsia="Consolas" w:hAnsi="Consolas"/>
                <w:b w:val="false"/>
                <w:bCs w:val="false"/>
                <w:color w:val="1A1A1A"/>
                <w:sz w:val="19"/>
                <w:szCs w:val="19"/>
              </w:rPr>
              <w:t xml:space="preserve">metrics_supportable: { }</w:t>
            </w:r>
            <w:r>
              <w:rPr>
                <w:rFonts w:ascii="Arial" w:cs="Arial" w:eastAsia="Arial" w:hAnsi="Arial"/>
                <w:b w:val="false"/>
                <w:bCs w:val="false"/>
                <w:i w:val="false"/>
                <w:iCs w:val="false"/>
                <w:color w:val="1A1A1A"/>
                <w:sz w:val="21"/>
                <w:szCs w:val="21"/>
              </w:rPr>
              <w:t xml:space="preserve"> — and that is the honest signal to consumers.</w:t>
            </w:r>
          </w:p>
          <w:p>
            <w:pPr>
              <w:spacing w:after="140" w:line="300"/>
            </w:pPr>
            <w:r>
              <w:rPr>
                <w:rFonts w:ascii="Arial" w:cs="Arial" w:eastAsia="Arial" w:hAnsi="Arial"/>
                <w:b w:val="false"/>
                <w:bCs w:val="false"/>
                <w:i w:val="false"/>
                <w:iCs w:val="false"/>
                <w:color w:val="1A1A1A"/>
                <w:sz w:val="21"/>
                <w:szCs w:val="21"/>
              </w:rPr>
              <w:t xml:space="preserve">A curve at tier T4 throughout is still a curve in the system; it informs and renders; it does not back metrics. The dossier exists to make that condition visible. A cell with no dossier is the problem; a cell with a thin dossier is doing its job.</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Sample dossier — pointed example</w:t>
      </w:r>
    </w:p>
    <w:p>
      <w:pPr>
        <w:spacing w:after="140" w:line="300"/>
      </w:pPr>
      <w:r>
        <w:rPr>
          <w:rFonts w:ascii="Arial" w:cs="Arial" w:eastAsia="Arial" w:hAnsi="Arial"/>
          <w:b w:val="false"/>
          <w:bCs w:val="false"/>
          <w:i w:val="false"/>
          <w:iCs w:val="false"/>
          <w:color w:val="1A1A1A"/>
          <w:sz w:val="21"/>
          <w:szCs w:val="21"/>
        </w:rPr>
        <w:t xml:space="preserve">A short worked example. The full version of this example continues in the Build Methodology document’s §12; here, the dossier surface is illustrated: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CELL:      hail × utility-scale solar           VERSION: 1.0</w:t>
            </w:r>
          </w:p>
          <w:p>
            <w:pPr>
              <w:spacing w:after="0" w:before="0" w:line="240"/>
            </w:pPr>
            <w:r>
              <w:rPr>
                <w:rFonts w:ascii="Consolas" w:cs="Consolas" w:eastAsia="Consolas" w:hAnsi="Consolas"/>
                <w:color w:val="1A1A1A"/>
                <w:sz w:val="17"/>
                <w:szCs w:val="17"/>
              </w:rPr>
              <w:t xml:space="preserve">   FOLDER:    cells/hail_x_solar/                  RE-CURATED: 2024-09-15</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CAPABILITY DECLARATION</w:t>
            </w:r>
          </w:p>
          <w:p>
            <w:pPr>
              <w:spacing w:after="0" w:before="0" w:line="240"/>
            </w:pPr>
            <w:r>
              <w:rPr>
                <w:rFonts w:ascii="Consolas" w:cs="Consolas" w:eastAsia="Consolas" w:hAnsi="Consolas"/>
                <w:color w:val="1A1A1A"/>
                <w:sz w:val="17"/>
                <w:szCs w:val="17"/>
              </w:rPr>
              <w:t xml:space="preserve">     emit_shape:           scalar mean DR</w:t>
            </w:r>
          </w:p>
          <w:p>
            <w:pPr>
              <w:spacing w:after="0" w:before="0" w:line="240"/>
            </w:pPr>
            <w:r>
              <w:rPr>
                <w:rFonts w:ascii="Consolas" w:cs="Consolas" w:eastAsia="Consolas" w:hAnsi="Consolas"/>
                <w:color w:val="1A1A1A"/>
                <w:sz w:val="17"/>
                <w:szCs w:val="17"/>
              </w:rPr>
              <w:t xml:space="preserve">     metrics_supportable:  { EAL }</w:t>
            </w:r>
          </w:p>
          <w:p>
            <w:pPr>
              <w:spacing w:after="0" w:before="0" w:line="240"/>
            </w:pPr>
            <w:r>
              <w:rPr>
                <w:rFonts w:ascii="Consolas" w:cs="Consolas" w:eastAsia="Consolas" w:hAnsi="Consolas"/>
                <w:color w:val="1A1A1A"/>
                <w:sz w:val="17"/>
                <w:szCs w:val="17"/>
              </w:rPr>
              <w:t xml:space="preserve">     withheld:             { VaR, AEP-PML, OEP-PML, TVaR }</w:t>
            </w:r>
          </w:p>
          <w:p>
            <w:pPr>
              <w:spacing w:after="0" w:before="0" w:line="240"/>
            </w:pPr>
            <w:r>
              <w:rPr>
                <w:rFonts w:ascii="Consolas" w:cs="Consolas" w:eastAsia="Consolas" w:hAnsi="Consolas"/>
                <w:color w:val="1A1A1A"/>
                <w:sz w:val="17"/>
                <w:szCs w:val="17"/>
              </w:rPr>
              <w:t xml:space="preserve">     cap_binding:          yes</w:t>
            </w:r>
          </w:p>
          <w:p>
            <w:pPr>
              <w:spacing w:after="0" w:before="0" w:line="240"/>
            </w:pPr>
            <w:r>
              <w:rPr>
                <w:rFonts w:ascii="Consolas" w:cs="Consolas" w:eastAsia="Consolas" w:hAnsi="Consolas"/>
                <w:color w:val="1A1A1A"/>
                <w:sz w:val="17"/>
                <w:szCs w:val="17"/>
              </w:rPr>
              <w:t xml:space="preserve">     valid_intensity:      [10, 90] mm hailstone diameter</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FAILURE-UNITS (this version)</w:t>
            </w:r>
          </w:p>
          <w:p>
            <w:pPr>
              <w:spacing w:after="0" w:before="0" w:line="240"/>
            </w:pPr>
            <w:r>
              <w:rPr>
                <w:rFonts w:ascii="Consolas" w:cs="Consolas" w:eastAsia="Consolas" w:hAnsi="Consolas"/>
                <w:color w:val="1A1A1A"/>
                <w:sz w:val="17"/>
                <w:szCs w:val="17"/>
              </w:rPr>
              <w:t xml:space="preserve">     panel_glass        capex 0.65        has_curve: yes</w:t>
            </w:r>
          </w:p>
          <w:p>
            <w:pPr>
              <w:spacing w:after="0" w:before="0" w:line="240"/>
            </w:pPr>
            <w:r>
              <w:rPr>
                <w:rFonts w:ascii="Consolas" w:cs="Consolas" w:eastAsia="Consolas" w:hAnsi="Consolas"/>
                <w:color w:val="1A1A1A"/>
                <w:sz w:val="17"/>
                <w:szCs w:val="17"/>
              </w:rPr>
              <w:t xml:space="preserve">     mounting_frame     capex 0.20        has_curve: no (backlog, v1.1)</w:t>
            </w:r>
          </w:p>
          <w:p>
            <w:pPr>
              <w:spacing w:after="0" w:before="0" w:line="240"/>
            </w:pPr>
            <w:r>
              <w:rPr>
                <w:rFonts w:ascii="Consolas" w:cs="Consolas" w:eastAsia="Consolas" w:hAnsi="Consolas"/>
                <w:color w:val="1A1A1A"/>
                <w:sz w:val="17"/>
                <w:szCs w:val="17"/>
              </w:rPr>
              <w:t xml:space="preserve">     inverter           capex 0.10        has_curve: no (capex too small for v1)</w:t>
            </w:r>
          </w:p>
          <w:p>
            <w:pPr>
              <w:spacing w:after="0" w:before="0" w:line="240"/>
            </w:pPr>
            <w:r>
              <w:rPr>
                <w:rFonts w:ascii="Consolas" w:cs="Consolas" w:eastAsia="Consolas" w:hAnsi="Consolas"/>
                <w:color w:val="1A1A1A"/>
                <w:sz w:val="17"/>
                <w:szCs w:val="17"/>
              </w:rPr>
              <w:t xml:space="preserve">     racking            capex 0.05        has_curve: no (DR ≈ 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SOURCE-TO-PARAMETER (panel_glass)</w:t>
            </w:r>
          </w:p>
          <w:p>
            <w:pPr>
              <w:spacing w:after="0" w:before="0" w:line="240"/>
            </w:pPr>
            <w:r>
              <w:rPr>
                <w:rFonts w:ascii="Consolas" w:cs="Consolas" w:eastAsia="Consolas" w:hAnsi="Consolas"/>
                <w:color w:val="1A1A1A"/>
                <w:sz w:val="17"/>
                <w:szCs w:val="17"/>
              </w:rPr>
              <w:t xml:space="preserve">     L           0.85     T2     IBHS solar impact spec + IEC 61215</w:t>
            </w:r>
          </w:p>
          <w:p>
            <w:pPr>
              <w:spacing w:after="0" w:before="0" w:line="240"/>
            </w:pPr>
            <w:r>
              <w:rPr>
                <w:rFonts w:ascii="Consolas" w:cs="Consolas" w:eastAsia="Consolas" w:hAnsi="Consolas"/>
                <w:color w:val="1A1A1A"/>
                <w:sz w:val="17"/>
                <w:szCs w:val="17"/>
              </w:rPr>
              <w:t xml:space="preserve">     k           0.062    T1     panel hail-impact study</w:t>
            </w:r>
          </w:p>
          <w:p>
            <w:pPr>
              <w:spacing w:after="0" w:before="0" w:line="240"/>
            </w:pPr>
            <w:r>
              <w:rPr>
                <w:rFonts w:ascii="Consolas" w:cs="Consolas" w:eastAsia="Consolas" w:hAnsi="Consolas"/>
                <w:color w:val="1A1A1A"/>
                <w:sz w:val="17"/>
                <w:szCs w:val="17"/>
              </w:rPr>
              <w:t xml:space="preserve">     x_0         46 mm    T1     panel hail-impact study, midpoint of fit</w:t>
            </w:r>
          </w:p>
          <w:p>
            <w:pPr>
              <w:spacing w:after="0" w:before="0" w:line="240"/>
            </w:pPr>
            <w:r>
              <w:rPr>
                <w:rFonts w:ascii="Consolas" w:cs="Consolas" w:eastAsia="Consolas" w:hAnsi="Consolas"/>
                <w:color w:val="1A1A1A"/>
                <w:sz w:val="17"/>
                <w:szCs w:val="17"/>
              </w:rPr>
              <w:t xml:space="preserve">     x_thresh    25 mm    T2     IBHS impact threshold</w:t>
            </w:r>
          </w:p>
          <w:p>
            <w:pPr>
              <w:spacing w:after="0" w:before="0" w:line="240"/>
            </w:pPr>
            <w:r>
              <w:rPr>
                <w:rFonts w:ascii="Consolas" w:cs="Consolas" w:eastAsia="Consolas" w:hAnsi="Consolas"/>
                <w:color w:val="1A1A1A"/>
                <w:sz w:val="17"/>
                <w:szCs w:val="17"/>
              </w:rPr>
              <w:t xml:space="preserve">     cond_stow   -0.15 k  T4     Vendor note 2024Q3  (BACKLOG: paired field obs)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TIER MIX:  weakest tier in panel_glass = T2 (mixed with T1)</w:t>
            </w:r>
          </w:p>
          <w:p>
            <w:pPr>
              <w:spacing w:after="0" w:before="0" w:line="240"/>
            </w:pPr>
            <w:r>
              <w:rPr>
                <w:rFonts w:ascii="Consolas" w:cs="Consolas" w:eastAsia="Consolas" w:hAnsi="Consolas"/>
                <w:color w:val="1A1A1A"/>
                <w:sz w:val="17"/>
                <w:szCs w:val="17"/>
              </w:rPr>
              <w:t xml:space="preserve">              secondary uncertainty NOT curated in v1.0</w:t>
            </w:r>
          </w:p>
          <w:p>
            <w:pPr>
              <w:spacing w:after="0" w:before="0" w:line="240"/>
            </w:pPr>
            <w:r>
              <w:rPr>
                <w:rFonts w:ascii="Consolas" w:cs="Consolas" w:eastAsia="Consolas" w:hAnsi="Consolas"/>
                <w:color w:val="1A1A1A"/>
                <w:sz w:val="17"/>
                <w:szCs w:val="17"/>
              </w:rPr>
              <w:t xml:space="preserve">              → metrics_supportable: { EAL } only</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BACKLOG</w:t>
            </w:r>
          </w:p>
          <w:p>
            <w:pPr>
              <w:spacing w:after="0" w:before="0" w:line="240"/>
            </w:pPr>
            <w:r>
              <w:rPr>
                <w:rFonts w:ascii="Consolas" w:cs="Consolas" w:eastAsia="Consolas" w:hAnsi="Consolas"/>
                <w:color w:val="1A1A1A"/>
                <w:sz w:val="17"/>
                <w:szCs w:val="17"/>
              </w:rPr>
              <w:t xml:space="preserve">     v1.1   secondary uncertainty curation for panel_glass    → unlock VaR</w:t>
            </w:r>
          </w:p>
          <w:p>
            <w:pPr>
              <w:spacing w:after="0" w:before="0" w:line="240"/>
            </w:pPr>
            <w:r>
              <w:rPr>
                <w:rFonts w:ascii="Consolas" w:cs="Consolas" w:eastAsia="Consolas" w:hAnsi="Consolas"/>
                <w:color w:val="1A1A1A"/>
                <w:sz w:val="17"/>
                <w:szCs w:val="17"/>
              </w:rPr>
              <w:t xml:space="preserve">     v1.1   mounting_frame failure-unit curve build           → completeness</w:t>
            </w:r>
          </w:p>
          <w:p>
            <w:pPr>
              <w:spacing w:after="0" w:before="0" w:line="240"/>
            </w:pPr>
            <w:r>
              <w:rPr>
                <w:rFonts w:ascii="Consolas" w:cs="Consolas" w:eastAsia="Consolas" w:hAnsi="Consolas"/>
                <w:color w:val="1A1A1A"/>
                <w:sz w:val="17"/>
                <w:szCs w:val="17"/>
              </w:rPr>
              <w:t xml:space="preserve">     v1.2   bifacial selector                                 → variant coverage</w:t>
            </w:r>
          </w:p>
          <w:p>
            <w:pPr>
              <w:spacing w:after="0" w:before="0" w:line="240"/>
            </w:pPr>
            <w:r>
              <w:rPr>
                <w:rFonts w:ascii="Consolas" w:cs="Consolas" w:eastAsia="Consolas" w:hAnsi="Consolas"/>
                <w:color w:val="1A1A1A"/>
                <w:sz w:val="17"/>
                <w:szCs w:val="17"/>
              </w:rPr>
              <w:t xml:space="preserve"> </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10. Cross-reference index</w:t>
      </w:r>
    </w:p>
    <w:p>
      <w:pPr>
        <w:spacing w:after="140" w:line="300"/>
      </w:pPr>
      <w:r>
        <w:rPr>
          <w:rFonts w:ascii="Arial" w:cs="Arial" w:eastAsia="Arial" w:hAnsi="Arial"/>
          <w:b w:val="false"/>
          <w:bCs w:val="false"/>
          <w:i w:val="false"/>
          <w:iCs w:val="false"/>
          <w:color w:val="1A1A1A"/>
          <w:sz w:val="21"/>
          <w:szCs w:val="21"/>
        </w:rPr>
        <w:t xml:space="preserve">Every concept in this document lands in one of the two companion documents. The index lets a reader cross at any point.</w:t>
      </w:r>
    </w:p>
    <w:p>
      <w:pPr>
        <w:pStyle w:val="Heading2"/>
        <w:spacing w:after="140" w:before="320"/>
      </w:pPr>
      <w:r>
        <w:rPr>
          <w:rFonts w:ascii="Arial" w:cs="Arial" w:eastAsia="Arial" w:hAnsi="Arial"/>
          <w:b/>
          <w:bCs/>
          <w:color w:val="1A1A1A"/>
          <w:sz w:val="26"/>
          <w:szCs w:val="26"/>
        </w:rPr>
        <w:t xml:space="preserve">Into the Terminology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Concept here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Defined / used in Terminology</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tier (T1–T4)</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Evidence terms — direct / inferred / proxy / expert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Curated-not-fitted</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Evidence terms — “curated, not fitted” entry</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Source-to-parameter mapping</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Evidence terms — source-to-parameter mapping entry</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Saturation cap (L)</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Shape terms — saturation, cap</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Threshold (x_thresh)</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Shape terms — threshold, anchoring</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Midpoint (x₀), steepness (k)</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Shape terms — midpoint and steepness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Selector / conditioner</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§5 Binding terms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Capability declaration / metrics_supportable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Emit terms — capability declaration and metrics_supportable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Failure-unit</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Grain terms — failure-unit and roles</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Into the Build Methodology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Concept here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Used in Build Methodology</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Tier taxonomy + tier × claim matrix</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Stage 1: EVIDENCE — curation discipline; informs Stage 6: EMIT capability declaration.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Source-to-parameter map and dossier template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Stage 1: EVIDENCE — output of curation; carried through to Stage 7: SHIP.</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Six-branch ingestion protocol</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Updates to a shipped cell route through ingestion before re-entering Stage 1: EVIDENCE.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Freshness card</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Stage 7: SHIP — part of the shipped artifact; reviewed at every re-curation.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Capability derivation</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Stage 6: EMIT — decides emit shape; Stage 7: SHIP — locked into the contract.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Withhold-not-caveat</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Stage 7: SHIP — the contract’s explicit no-emit rule when evidence does not support a metric.</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Cell evidence backlog</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Stage 1: EVIDENCE — gate on whether the curve is buildable; Stage 7: SHIP — surfaced in the shipped dossier.</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Reader’s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How the three documents are read together.</w:t>
            </w:r>
          </w:p>
          <w:p>
            <w:pPr>
              <w:spacing w:after="140" w:line="300"/>
            </w:pPr>
            <w:r>
              <w:rPr>
                <w:rFonts w:ascii="Arial" w:cs="Arial" w:eastAsia="Arial" w:hAnsi="Arial"/>
                <w:b w:val="false"/>
                <w:bCs w:val="false"/>
                <w:i w:val="false"/>
                <w:iCs w:val="false"/>
                <w:color w:val="1A1A1A"/>
                <w:sz w:val="21"/>
                <w:szCs w:val="21"/>
              </w:rPr>
              <w:t xml:space="preserve">A new teammate starts with the Terminology document — one pass to absorb the vocabulary families. They move to this document to learn what is and is not evidence and how tiers gate downstream claims. They finish with the Build Methodology document, which shows how to use the tiered evidence to actually construct a curve and ship it.</w:t>
            </w:r>
          </w:p>
          <w:p>
            <w:pPr>
              <w:spacing w:after="140" w:line="300"/>
            </w:pPr>
            <w:r>
              <w:rPr>
                <w:rFonts w:ascii="Arial" w:cs="Arial" w:eastAsia="Arial" w:hAnsi="Arial"/>
                <w:b w:val="false"/>
                <w:bCs w:val="false"/>
                <w:i w:val="false"/>
                <w:iCs w:val="false"/>
                <w:color w:val="1A1A1A"/>
                <w:sz w:val="21"/>
                <w:szCs w:val="21"/>
              </w:rPr>
              <w:t xml:space="preserve">A reviewer of a specific cell goes in reverse: they read the cell’s dossier; they map any unfamiliar terms back to the Terminology document; they audit the tier assignments against this document’s §2 and §4; and they verify the capability declaration against §6’s tier × claim matrix.</w:t>
            </w:r>
          </w:p>
          <w:p>
            <w:pPr>
              <w:spacing w:after="140" w:line="300"/>
            </w:pPr>
            <w:r>
              <w:rPr>
                <w:rFonts w:ascii="Arial" w:cs="Arial" w:eastAsia="Arial" w:hAnsi="Arial"/>
                <w:b w:val="false"/>
                <w:bCs w:val="false"/>
                <w:i w:val="false"/>
                <w:iCs w:val="false"/>
                <w:color w:val="1A1A1A"/>
                <w:sz w:val="21"/>
                <w:szCs w:val="21"/>
              </w:rPr>
              <w:t xml:space="preserve">An evidence ingestion event — a new paper, a new claims summary — touches only this document’s §7 (the six branches). The branch chosen determines whether the Build Methodology is re-entered (B1–B5) or the change waits in the cell’s backlog (B6).</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Closing</w:t>
      </w:r>
    </w:p>
    <w:p>
      <w:pPr>
        <w:spacing w:after="140" w:line="300"/>
      </w:pPr>
      <w:r>
        <w:rPr>
          <w:rFonts w:ascii="Arial" w:cs="Arial" w:eastAsia="Arial" w:hAnsi="Arial"/>
          <w:b w:val="false"/>
          <w:bCs w:val="false"/>
          <w:i w:val="false"/>
          <w:iCs w:val="false"/>
          <w:color w:val="1A1A1A"/>
          <w:sz w:val="21"/>
          <w:szCs w:val="21"/>
        </w:rPr>
        <w:t xml:space="preserve">Damage evidence is a hierarchy of artifacts, not a dataset. Tiers grade the artifacts against the claim being made, not against each other. Provenance keeps the grade defensible. The tier × claim matrix gates the metrics. The ingestion protocol keeps the curve’s evolution disciplined. The dossier carries all of it forward.</w:t>
      </w:r>
    </w:p>
    <w:p>
      <w:pPr>
        <w:spacing w:after="140" w:line="300"/>
      </w:pPr>
      <w:r>
        <w:rPr>
          <w:rFonts w:ascii="Arial" w:cs="Arial" w:eastAsia="Arial" w:hAnsi="Arial"/>
          <w:b w:val="false"/>
          <w:bCs w:val="false"/>
          <w:i w:val="false"/>
          <w:iCs w:val="false"/>
          <w:color w:val="1A1A1A"/>
          <w:sz w:val="21"/>
          <w:szCs w:val="21"/>
        </w:rPr>
        <w:t xml:space="preserve">A curve in this system carries its evidence with it; a curve without its evidence is not a curve, it is a chart.</w:t>
      </w:r>
    </w:p>
    <w:sectPr>
      <w:headerReference w:type="default" r:id="rId8"/>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pBdr>
        <w:top w:val="single" w:sz="4" w:space="6" w:color="D0D0D0"/>
      </w:pBdr>
      <w:tabs>
        <w:tab w:val="right" w:pos="9360"/>
      </w:tabs>
      <w:spacing w:before="0" w:line="240"/>
    </w:pPr>
    <w:r>
      <w:rPr>
        <w:rFonts w:ascii="Arial" w:hAnsi="Arial" w:cs="Arial"/>
        <w:color w:val="888888"/>
        <w:sz w:val="16"/>
        <w:szCs w:val="16"/>
      </w:rPr>
      <w:t xml:space="preserve">InfraSure · Internal reference</w:t>
    </w:r>
    <w:r>
      <w:rPr>
        <w:rFonts w:ascii="Arial" w:hAnsi="Arial" w:cs="Arial"/>
        <w:color w:val="888888"/>
        <w:sz w:val="16"/>
        <w:szCs w:val="16"/>
      </w:rPr>
      <w:tab/>
      <w:t xml:space="preserve">Page </w:t>
    </w:r>
    <w:r>
      <w:rPr>
        <w:rFonts w:ascii="Arial" w:hAnsi="Arial" w:cs="Arial"/>
        <w:color w:val="888888"/>
        <w:sz w:val="16"/>
        <w:szCs w:val="16"/>
      </w:rPr>
      <w:fldChar w:fldCharType="begin"/>
    </w:r>
    <w:r>
      <w:rPr>
        <w:rFonts w:ascii="Arial" w:hAnsi="Arial" w:cs="Arial"/>
        <w:color w:val="888888"/>
        <w:sz w:val="16"/>
        <w:szCs w:val="16"/>
      </w:rPr>
      <w:instrText xml:space="preserve"> PAGE </w:instrText>
    </w:r>
    <w:r>
      <w:rPr>
        <w:rFonts w:ascii="Arial" w:hAnsi="Arial" w:cs="Arial"/>
        <w:color w:val="888888"/>
        <w:sz w:val="16"/>
        <w:szCs w:val="16"/>
      </w:rPr>
      <w:fldChar w:fldCharType="end"/>
    </w:r>
    <w:r>
      <w:rPr>
        <w:rFonts w:ascii="Arial" w:hAnsi="Arial" w:cs="Arial"/>
        <w:color w:val="888888"/>
        <w:sz w:val="16"/>
        <w:szCs w:val="16"/>
      </w:rPr>
      <w:t xml:space="preserve"> of </w:t>
    </w:r>
    <w:r>
      <w:rPr>
        <w:rFonts w:ascii="Arial" w:hAnsi="Arial" w:cs="Arial"/>
        <w:color w:val="888888"/>
        <w:sz w:val="16"/>
        <w:szCs w:val="16"/>
      </w:rPr>
      <w:fldChar w:fldCharType="begin"/>
    </w:r>
    <w:r>
      <w:rPr>
        <w:rFonts w:ascii="Arial" w:hAnsi="Arial" w:cs="Arial"/>
        <w:color w:val="888888"/>
        <w:sz w:val="16"/>
        <w:szCs w:val="16"/>
      </w:rPr>
      <w:instrText xml:space="preserve"> NUMPAGES </w:instrText>
    </w:r>
    <w:r>
      <w:rPr>
        <w:rFonts w:ascii="Arial" w:hAnsi="Arial" w:cs="Arial"/>
        <w:color w:val="888888"/>
        <w:sz w:val="16"/>
        <w:szCs w:val="16"/>
      </w:rPr>
      <w:fldChar w:fldCharType="end"/>
    </w:r>
  </w:p>
</w:ftr>
</file>

<file path=word/footer2.xml><?xml version="1.0" encoding="utf-8"?>
<w:ftr xmlns:w="http://schemas.openxmlformats.org/wordprocessingml/2006/main" xmlns:r="http://schemas.openxmlformats.org/officeDocument/2006/relationships">
  <w:p>
    <w:pPr>
      <w:spacing w:after="0" w:line="24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w:p>
    <w:pPr>
      <w:pBdr>
        <w:bottom w:val="single" w:sz="6" w:space="6" w:color="2E75B6"/>
      </w:pBdr>
      <w:tabs>
        <w:tab w:val="right" w:pos="9360"/>
      </w:tabs>
      <w:spacing w:after="0" w:line="240"/>
    </w:pPr>
    <w:r>
      <w:rPr>
        <w:rFonts w:ascii="Arial" w:hAnsi="Arial" w:cs="Arial"/>
        <w:b/>
        <w:color w:val="333333"/>
        <w:sz w:val="16"/>
        <w:szCs w:val="16"/>
      </w:rPr>
      <w:t xml:space="preserve">DAMAGE CURVE EVIDENCE REFERENCE</w:t>
    </w:r>
    <w:r>
      <w:rPr>
        <w:rFonts w:ascii="Arial" w:hAnsi="Arial" w:cs="Arial"/>
        <w:color w:val="888888"/>
        <w:sz w:val="16"/>
        <w:szCs w:val="16"/>
      </w:rPr>
      <w:tab/>
      <w:t xml:space="preserve">Reference</w:t>
    </w:r>
  </w:p>
</w:hdr>
</file>

<file path=word/header2.xml><?xml version="1.0" encoding="utf-8"?>
<w:hdr xmlns:w="http://schemas.openxmlformats.org/wordprocessingml/2006/main" xmlns:r="http://schemas.openxmlformats.org/officeDocument/2006/relationships">
  <w:p>
    <w:pPr>
      <w:spacing w:after="0" w:line="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Ladder" Type="http://schemas.openxmlformats.org/officeDocument/2006/relationships/image" Target="media/ev_tier_ladder.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Damage Curve Evidence Reference</dc:title>
  <dc:creator>InfraSure</dc:creator>
  <dc:description>Standalone reference document — evidence framework for damage curves</dc:description>
  <cp:lastModifiedBy>Un-named</cp:lastModifiedBy>
  <cp:revision>1</cp:revision>
  <dcterms:created xsi:type="dcterms:W3CDTF">2026-06-21T21:42:41.920Z</dcterms:created>
  <dcterms:modified xsi:type="dcterms:W3CDTF">2026-06-21T21:42:41.921Z</dcterms:modified>
</cp:coreProperties>
</file>

<file path=docProps/custom.xml><?xml version="1.0" encoding="utf-8"?>
<Properties xmlns="http://schemas.openxmlformats.org/officeDocument/2006/custom-properties" xmlns:vt="http://schemas.openxmlformats.org/officeDocument/2006/docPropsVTypes"/>
</file>