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ABC43" w14:textId="532744FA" w:rsidR="00906358" w:rsidRPr="0060240E" w:rsidRDefault="00570749" w:rsidP="00234270">
      <w:pPr>
        <w:tabs>
          <w:tab w:val="left" w:pos="1986"/>
        </w:tabs>
        <w:rPr>
          <w:b/>
          <w:sz w:val="52"/>
        </w:rPr>
      </w:pPr>
      <w:r>
        <w:rPr>
          <w:b/>
          <w:noProof/>
          <w:sz w:val="52"/>
          <w:lang w:eastAsia="es-ES"/>
        </w:rPr>
        <w:drawing>
          <wp:anchor distT="0" distB="0" distL="0" distR="0" simplePos="0" relativeHeight="251658240" behindDoc="1" locked="0" layoutInCell="1" allowOverlap="1" wp14:anchorId="4116A782" wp14:editId="31841692">
            <wp:simplePos x="0" y="0"/>
            <wp:positionH relativeFrom="column">
              <wp:posOffset>-1441953</wp:posOffset>
            </wp:positionH>
            <wp:positionV relativeFrom="paragraph">
              <wp:posOffset>-984885</wp:posOffset>
            </wp:positionV>
            <wp:extent cx="8198069" cy="11600898"/>
            <wp:effectExtent l="0" t="0" r="0" b="635"/>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11"/>
                    <a:stretch>
                      <a:fillRect/>
                    </a:stretch>
                  </pic:blipFill>
                  <pic:spPr bwMode="auto">
                    <a:xfrm>
                      <a:off x="0" y="0"/>
                      <a:ext cx="8198069" cy="11600898"/>
                    </a:xfrm>
                    <a:prstGeom prst="rect">
                      <a:avLst/>
                    </a:prstGeom>
                  </pic:spPr>
                </pic:pic>
              </a:graphicData>
            </a:graphic>
            <wp14:sizeRelH relativeFrom="margin">
              <wp14:pctWidth>0</wp14:pctWidth>
            </wp14:sizeRelH>
            <wp14:sizeRelV relativeFrom="margin">
              <wp14:pctHeight>0</wp14:pctHeight>
            </wp14:sizeRelV>
          </wp:anchor>
        </w:drawing>
      </w:r>
      <w:r>
        <w:rPr>
          <w:b/>
          <w:sz w:val="52"/>
        </w:rPr>
        <w:tab/>
      </w:r>
    </w:p>
    <w:p w14:paraId="1A7B7E19" w14:textId="42C3C23B" w:rsidR="00234270" w:rsidRPr="0060240E" w:rsidRDefault="000A2D46" w:rsidP="00B47EC4">
      <w:pPr>
        <w:rPr>
          <w:color w:val="FFFFFF" w:themeColor="background1"/>
          <w:sz w:val="20"/>
          <w:szCs w:val="20"/>
        </w:rPr>
      </w:pPr>
      <w:r>
        <w:rPr>
          <w:b/>
          <w:sz w:val="52"/>
        </w:rPr>
        <w:t>Modelo para la detección de fraudes en el comercio electrónico mediante el uso de Aprendizaje Automático</w:t>
      </w:r>
    </w:p>
    <w:p w14:paraId="5B6527B6" w14:textId="46A3124F" w:rsidR="00234270" w:rsidRPr="0060240E" w:rsidRDefault="00234270">
      <w:pPr>
        <w:pStyle w:val="Piedepgina"/>
        <w:rPr>
          <w:color w:val="FFFFFF" w:themeColor="background1"/>
          <w:sz w:val="20"/>
          <w:szCs w:val="20"/>
        </w:rPr>
      </w:pPr>
    </w:p>
    <w:p w14:paraId="068950FA" w14:textId="7984A432" w:rsidR="00906358" w:rsidRPr="0060240E" w:rsidRDefault="00906358">
      <w:pPr>
        <w:pStyle w:val="Piedepgina"/>
        <w:rPr>
          <w:color w:val="FFFFFF" w:themeColor="background1"/>
          <w:sz w:val="20"/>
          <w:szCs w:val="20"/>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00ED5BE2" w:rsidRPr="0060240E" w14:paraId="47247683" w14:textId="5C33DB87" w:rsidTr="00ED5BE2">
        <w:trPr>
          <w:trHeight w:val="2160"/>
        </w:trPr>
        <w:tc>
          <w:tcPr>
            <w:tcW w:w="3061" w:type="dxa"/>
            <w:tcBorders>
              <w:top w:val="nil"/>
              <w:left w:val="single" w:sz="48" w:space="0" w:color="FFFFFF"/>
              <w:bottom w:val="nil"/>
              <w:right w:val="single" w:sz="48" w:space="0" w:color="FFFFFF"/>
            </w:tcBorders>
          </w:tcPr>
          <w:p w14:paraId="5AAF53FC" w14:textId="62772EDF" w:rsidR="00ED5BE2" w:rsidRPr="0060240E" w:rsidRDefault="00ED5BE2" w:rsidP="00335558">
            <w:pPr>
              <w:spacing w:after="0"/>
              <w:rPr>
                <w:color w:val="FFFFFF" w:themeColor="background1"/>
              </w:rPr>
            </w:pPr>
            <w:r>
              <w:rPr>
                <w:color w:val="FFFFFF" w:themeColor="background1"/>
              </w:rPr>
              <w:t>Titulación:</w:t>
            </w:r>
          </w:p>
          <w:p w14:paraId="44817FED" w14:textId="46A1B697" w:rsidR="002D2A3C" w:rsidRPr="0060240E" w:rsidRDefault="00763A0A" w:rsidP="002D2A3C">
            <w:pPr>
              <w:spacing w:after="0" w:line="276" w:lineRule="auto"/>
              <w:rPr>
                <w:color w:val="FFFFFF" w:themeColor="background1"/>
              </w:rPr>
            </w:pPr>
            <w:r>
              <w:rPr>
                <w:color w:val="FFFFFF" w:themeColor="background1"/>
              </w:rPr>
              <w:t>Máster en Big Data y Ciencia</w:t>
            </w:r>
          </w:p>
          <w:p w14:paraId="1335C357" w14:textId="00B06A2E" w:rsidR="00ED5BE2" w:rsidRPr="0060240E" w:rsidRDefault="00763A0A" w:rsidP="002D2A3C">
            <w:pPr>
              <w:spacing w:line="276" w:lineRule="auto"/>
              <w:rPr>
                <w:color w:val="FFFFFF" w:themeColor="background1"/>
              </w:rPr>
            </w:pPr>
            <w:r>
              <w:rPr>
                <w:color w:val="FFFFFF" w:themeColor="background1"/>
              </w:rPr>
              <w:t>de Datos</w:t>
            </w:r>
          </w:p>
          <w:p w14:paraId="5FE7BD31" w14:textId="4CB9B7A8" w:rsidR="00335558" w:rsidRPr="0060240E" w:rsidRDefault="00335558" w:rsidP="002D2A3C">
            <w:pPr>
              <w:spacing w:line="276" w:lineRule="auto"/>
              <w:rPr>
                <w:color w:val="FFFFFF" w:themeColor="background1"/>
              </w:rPr>
            </w:pPr>
          </w:p>
          <w:p w14:paraId="10939D73" w14:textId="6AC9ED3F" w:rsidR="00ED5BE2" w:rsidRPr="0060240E" w:rsidRDefault="00ED5BE2" w:rsidP="00335558">
            <w:pPr>
              <w:spacing w:after="0"/>
              <w:rPr>
                <w:color w:val="FFFFFF" w:themeColor="background1"/>
              </w:rPr>
            </w:pPr>
            <w:r>
              <w:rPr>
                <w:color w:val="FFFFFF" w:themeColor="background1"/>
              </w:rPr>
              <w:t xml:space="preserve">Curso académico </w:t>
            </w:r>
          </w:p>
          <w:p w14:paraId="0A0C0B23" w14:textId="0E5F397E" w:rsidR="00ED5BE2" w:rsidRPr="0060240E" w:rsidRDefault="00ED5BE2" w:rsidP="00ED5BE2">
            <w:pPr>
              <w:rPr>
                <w:color w:val="FFFFFF" w:themeColor="background1"/>
              </w:rPr>
            </w:pPr>
            <w:r>
              <w:rPr>
                <w:color w:val="FFFFFF" w:themeColor="background1"/>
              </w:rPr>
              <w:t>2025 – 2026</w:t>
            </w:r>
          </w:p>
        </w:tc>
        <w:tc>
          <w:tcPr>
            <w:tcW w:w="3293" w:type="dxa"/>
            <w:tcBorders>
              <w:top w:val="nil"/>
              <w:left w:val="single" w:sz="48" w:space="0" w:color="FFFFFF"/>
              <w:bottom w:val="nil"/>
              <w:right w:val="single" w:sz="48" w:space="0" w:color="FFFFFF"/>
            </w:tcBorders>
          </w:tcPr>
          <w:p w14:paraId="6B2C4523" w14:textId="1384204E" w:rsidR="003424CA" w:rsidRPr="0060240E" w:rsidRDefault="00ED5BE2" w:rsidP="00335558">
            <w:pPr>
              <w:spacing w:after="0"/>
              <w:rPr>
                <w:color w:val="FFFFFF" w:themeColor="background1"/>
              </w:rPr>
            </w:pPr>
            <w:r>
              <w:rPr>
                <w:color w:val="FFFFFF" w:themeColor="background1"/>
              </w:rPr>
              <w:t xml:space="preserve">Alumno/a: </w:t>
            </w:r>
          </w:p>
          <w:p w14:paraId="0B1406B3" w14:textId="7607ED3A" w:rsidR="00ED5BE2" w:rsidRPr="0060240E" w:rsidRDefault="00F6643D" w:rsidP="00ED5BE2">
            <w:pPr>
              <w:rPr>
                <w:color w:val="FFFFFF" w:themeColor="background1"/>
              </w:rPr>
            </w:pPr>
            <w:r>
              <w:rPr>
                <w:color w:val="FFFFFF" w:themeColor="background1"/>
              </w:rPr>
              <w:t>Mery Ibarra, Ariel Alejandro</w:t>
            </w:r>
          </w:p>
          <w:p w14:paraId="1A51B15C" w14:textId="3480F74D" w:rsidR="00ED5BE2" w:rsidRPr="0060240E" w:rsidRDefault="00ED5BE2" w:rsidP="00ED5BE2">
            <w:pPr>
              <w:rPr>
                <w:color w:val="FFFFFF" w:themeColor="background1"/>
              </w:rPr>
            </w:pPr>
            <w:r>
              <w:rPr>
                <w:color w:val="FFFFFF" w:themeColor="background1"/>
              </w:rPr>
              <w:t>D.N.I: 10957645K</w:t>
            </w:r>
          </w:p>
          <w:p w14:paraId="2D3F9E97" w14:textId="6C74F6DC" w:rsidR="00BA3560" w:rsidRPr="0060240E" w:rsidRDefault="00ED5BE2" w:rsidP="00BA3560">
            <w:pPr>
              <w:spacing w:after="0"/>
              <w:rPr>
                <w:color w:val="FFFFFF" w:themeColor="background1"/>
              </w:rPr>
            </w:pPr>
            <w:r>
              <w:rPr>
                <w:color w:val="FFFFFF" w:themeColor="background1"/>
              </w:rPr>
              <w:t>Director/a de TFM:</w:t>
            </w:r>
          </w:p>
          <w:p w14:paraId="6BF023C0" w14:textId="1523D055" w:rsidR="00335558" w:rsidRPr="0060240E" w:rsidRDefault="00BA3560" w:rsidP="00F205DB">
            <w:pPr>
              <w:rPr>
                <w:color w:val="FFFFFF" w:themeColor="background1"/>
              </w:rPr>
            </w:pPr>
            <w:r>
              <w:rPr>
                <w:color w:val="FFFFFF" w:themeColor="background1"/>
              </w:rPr>
              <w:t>Altamiranda Pérez Junior A.</w:t>
            </w:r>
          </w:p>
        </w:tc>
        <w:tc>
          <w:tcPr>
            <w:tcW w:w="3065" w:type="dxa"/>
            <w:tcBorders>
              <w:top w:val="nil"/>
              <w:left w:val="single" w:sz="48" w:space="0" w:color="FFFFFF"/>
              <w:bottom w:val="nil"/>
              <w:right w:val="nil"/>
            </w:tcBorders>
          </w:tcPr>
          <w:p w14:paraId="7698619A" w14:textId="2F4708BF" w:rsidR="00ED5BE2" w:rsidRPr="0060240E" w:rsidRDefault="00ED5BE2" w:rsidP="00616D70">
            <w:pPr>
              <w:spacing w:after="0"/>
              <w:rPr>
                <w:color w:val="FFFFFF" w:themeColor="background1"/>
              </w:rPr>
            </w:pPr>
            <w:r>
              <w:rPr>
                <w:color w:val="FFFFFF" w:themeColor="background1"/>
              </w:rPr>
              <w:t>Convocatoria:</w:t>
            </w:r>
          </w:p>
          <w:p w14:paraId="4B7B922D" w14:textId="2276FFD2" w:rsidR="00ED5BE2" w:rsidRPr="0060240E" w:rsidRDefault="00ED5BE2" w:rsidP="00ED5BE2">
            <w:pPr>
              <w:rPr>
                <w:color w:val="FFFFFF" w:themeColor="background1"/>
              </w:rPr>
            </w:pPr>
            <w:r>
              <w:rPr>
                <w:color w:val="FFFFFF" w:themeColor="background1"/>
              </w:rPr>
              <w:t>Primera</w:t>
            </w:r>
          </w:p>
          <w:p w14:paraId="5EA3A602" w14:textId="313115EB" w:rsidR="00ED5BE2" w:rsidRPr="0060240E" w:rsidRDefault="00ED5BE2" w:rsidP="00ED5BE2">
            <w:pPr>
              <w:rPr>
                <w:color w:val="FFFFFF" w:themeColor="background1"/>
              </w:rPr>
            </w:pPr>
          </w:p>
        </w:tc>
      </w:tr>
    </w:tbl>
    <w:p w14:paraId="1FEECCF9" w14:textId="12432D3F" w:rsidR="00906358" w:rsidRPr="0060240E" w:rsidRDefault="00A973DB" w:rsidP="005A5D7C">
      <w:pPr>
        <w:pStyle w:val="Piedepgina"/>
        <w:rPr>
          <w:sz w:val="26"/>
          <w:szCs w:val="28"/>
        </w:rPr>
        <w:sectPr w:rsidR="00906358" w:rsidRPr="0060240E">
          <w:pgSz w:w="11906" w:h="16838"/>
          <w:pgMar w:top="708" w:right="1701" w:bottom="794" w:left="1701" w:header="0" w:footer="0" w:gutter="0"/>
          <w:pgNumType w:start="1"/>
          <w:cols w:space="720"/>
          <w:formProt w:val="0"/>
          <w:docGrid w:linePitch="360"/>
        </w:sectPr>
      </w:pPr>
      <w:r>
        <w:rPr>
          <w:sz w:val="26"/>
          <w:szCs w:val="28"/>
        </w:rPr>
        <w:t>00 Mes 2026</w:t>
      </w:r>
    </w:p>
    <w:sdt>
      <w:sdtPr>
        <w:rPr>
          <w:rFonts w:ascii="Arial" w:eastAsiaTheme="minorHAnsi" w:hAnsi="Arial" w:cs="Arial"/>
          <w:b w:val="0"/>
          <w:bCs w:val="0"/>
          <w:spacing w:val="0"/>
          <w:sz w:val="36"/>
          <w:szCs w:val="36"/>
        </w:rPr>
        <w:id w:val="-292835847"/>
        <w:docPartObj>
          <w:docPartGallery w:val="Table of Contents"/>
          <w:docPartUnique/>
        </w:docPartObj>
      </w:sdtPr>
      <w:sdtEndPr>
        <w:rPr>
          <w:rFonts w:ascii="Visuelt Pro Light" w:hAnsi="Visuelt Pro Light"/>
          <w:sz w:val="22"/>
          <w:szCs w:val="22"/>
        </w:rPr>
      </w:sdtEndPr>
      <w:sdtContent>
        <w:p w14:paraId="15B4DF56" w14:textId="3EED4ED5" w:rsidR="00CD2098" w:rsidRPr="0060240E" w:rsidRDefault="00CD2098" w:rsidP="00CD2098">
          <w:pPr>
            <w:pStyle w:val="Encabezadodelista"/>
            <w:spacing w:after="240"/>
            <w:rPr>
              <w:rFonts w:ascii="Arial" w:hAnsi="Arial" w:cs="Arial"/>
              <w:sz w:val="36"/>
              <w:szCs w:val="36"/>
            </w:rPr>
          </w:pPr>
          <w:r>
            <w:rPr>
              <w:rFonts w:ascii="Arial" w:hAnsi="Arial" w:cs="Arial"/>
              <w:sz w:val="36"/>
              <w:szCs w:val="36"/>
            </w:rPr>
            <w:t>Índice</w:t>
          </w:r>
        </w:p>
        <w:p w14:paraId="67FCC812" w14:textId="5E3843DC" w:rsidR="0065180D" w:rsidRDefault="00CD2098">
          <w:pPr>
            <w:pStyle w:val="TDC1"/>
            <w:tabs>
              <w:tab w:val="right" w:leader="dot" w:pos="8494"/>
            </w:tabs>
            <w:rPr>
              <w:rFonts w:asciiTheme="minorHAnsi" w:eastAsiaTheme="minorEastAsia" w:hAnsiTheme="minorHAnsi" w:cstheme="minorBidi"/>
              <w:noProof/>
              <w:kern w:val="2"/>
              <w:sz w:val="24"/>
              <w:szCs w:val="24"/>
              <w:lang w:eastAsia="es-CL"/>
              <w14:ligatures w14:val="standardContextual"/>
            </w:rPr>
          </w:pPr>
          <w:r>
            <w:fldChar w:fldCharType="begin"/>
          </w:r>
          <w:r>
            <w:rPr>
              <w:rStyle w:val="Enlacedelndice"/>
              <w:webHidden/>
            </w:rPr>
            <w:instrText>TOC \z \o "1-3" \u \h</w:instrText>
          </w:r>
          <w:r>
            <w:rPr>
              <w:rStyle w:val="Enlacedelndice"/>
            </w:rPr>
            <w:fldChar w:fldCharType="separate"/>
          </w:r>
          <w:hyperlink w:anchor="_Toc229570762" w:history="1">
            <w:r>
              <w:rPr>
                <w:rStyle w:val="Hipervnculo"/>
                <w:b/>
                <w:noProof/>
              </w:rPr>
              <w:t>Resumen</w:t>
            </w:r>
            <w:r>
              <w:rPr>
                <w:noProof/>
                <w:webHidden/>
              </w:rPr>
              <w:tab/>
              <w:fldChar w:fldCharType="begin"/>
              <w:instrText xml:space="preserve"> PAGEREF _Toc229570762 \h </w:instrText>
              <w:fldChar w:fldCharType="separate"/>
              <w:t>5</w:t>
              <w:fldChar w:fldCharType="end"/>
            </w:r>
          </w:hyperlink>
        </w:p>
        <w:p w14:paraId="6794508D" w14:textId="4B2D5358" w:rsidR="0065180D" w:rsidRDefault="0065180D">
          <w:pPr>
            <w:pStyle w:val="TDC1"/>
            <w:tabs>
              <w:tab w:val="right" w:leader="dot" w:pos="8494"/>
            </w:tabs>
            <w:rPr>
              <w:rFonts w:asciiTheme="minorHAnsi" w:eastAsiaTheme="minorEastAsia" w:hAnsiTheme="minorHAnsi" w:cstheme="minorBidi"/>
              <w:noProof/>
              <w:kern w:val="2"/>
              <w:sz w:val="24"/>
              <w:szCs w:val="24"/>
              <w:lang w:eastAsia="es-CL"/>
              <w14:ligatures w14:val="standardContextual"/>
            </w:rPr>
          </w:pPr>
          <w:hyperlink w:anchor="_Toc229570763" w:history="1">
            <w:r>
              <w:rPr>
                <w:rStyle w:val="Hipervnculo"/>
                <w:b/>
                <w:noProof/>
              </w:rPr>
              <w:t>Abstract</w:t>
            </w:r>
            <w:r>
              <w:rPr>
                <w:noProof/>
                <w:webHidden/>
              </w:rPr>
              <w:tab/>
              <w:fldChar w:fldCharType="begin"/>
              <w:instrText xml:space="preserve"> PAGEREF _Toc229570763 \h </w:instrText>
              <w:fldChar w:fldCharType="separate"/>
              <w:t>6</w:t>
              <w:fldChar w:fldCharType="end"/>
            </w:r>
          </w:hyperlink>
        </w:p>
        <w:p w14:paraId="3FE30E49" w14:textId="3B66E047" w:rsidR="0065180D" w:rsidRDefault="0065180D">
          <w:pPr>
            <w:pStyle w:val="TDC1"/>
            <w:tabs>
              <w:tab w:val="left" w:pos="440"/>
              <w:tab w:val="right" w:leader="dot" w:pos="8494"/>
            </w:tabs>
            <w:rPr>
              <w:rFonts w:asciiTheme="minorHAnsi" w:eastAsiaTheme="minorEastAsia" w:hAnsiTheme="minorHAnsi" w:cstheme="minorBidi"/>
              <w:noProof/>
              <w:kern w:val="2"/>
              <w:sz w:val="24"/>
              <w:szCs w:val="24"/>
              <w:lang w:eastAsia="es-CL"/>
              <w14:ligatures w14:val="standardContextual"/>
            </w:rPr>
          </w:pPr>
          <w:hyperlink w:anchor="_Toc229570764" w:history="1">
            <w:r>
              <w:rPr>
                <w:rStyle w:val="Hipervnculo"/>
                <w:noProof/>
              </w:rPr>
              <w:t>1.</w:t>
            </w:r>
            <w:r>
              <w:rPr>
                <w:rFonts w:asciiTheme="minorHAnsi" w:eastAsiaTheme="minorEastAsia" w:hAnsiTheme="minorHAnsi" w:cstheme="minorBidi"/>
                <w:noProof/>
                <w:kern w:val="2"/>
                <w:sz w:val="24"/>
                <w:szCs w:val="24"/>
                <w:lang w:eastAsia="es-CL"/>
                <w14:ligatures w14:val="standardContextual"/>
              </w:rPr>
              <w:tab/>
            </w:r>
            <w:r>
              <w:rPr>
                <w:rStyle w:val="Hipervnculo"/>
                <w:noProof/>
              </w:rPr>
              <w:t>Introducción</w:t>
            </w:r>
            <w:r>
              <w:rPr>
                <w:noProof/>
                <w:webHidden/>
              </w:rPr>
              <w:tab/>
              <w:fldChar w:fldCharType="begin"/>
              <w:instrText xml:space="preserve"> PAGEREF _Toc229570764 \h </w:instrText>
              <w:fldChar w:fldCharType="separate"/>
              <w:t>7</w:t>
              <w:fldChar w:fldCharType="end"/>
            </w:r>
          </w:hyperlink>
        </w:p>
        <w:p w14:paraId="04A7D0ED" w14:textId="238FE1FC" w:rsidR="0065180D" w:rsidRDefault="0065180D">
          <w:pPr>
            <w:pStyle w:val="TDC1"/>
            <w:tabs>
              <w:tab w:val="left" w:pos="440"/>
              <w:tab w:val="right" w:leader="dot" w:pos="8494"/>
            </w:tabs>
            <w:rPr>
              <w:rFonts w:asciiTheme="minorHAnsi" w:eastAsiaTheme="minorEastAsia" w:hAnsiTheme="minorHAnsi" w:cstheme="minorBidi"/>
              <w:noProof/>
              <w:kern w:val="2"/>
              <w:sz w:val="24"/>
              <w:szCs w:val="24"/>
              <w:lang w:eastAsia="es-CL"/>
              <w14:ligatures w14:val="standardContextual"/>
            </w:rPr>
          </w:pPr>
          <w:hyperlink w:anchor="_Toc229570765" w:history="1">
            <w:r>
              <w:rPr>
                <w:rStyle w:val="Hipervnculo"/>
                <w:noProof/>
              </w:rPr>
              <w:t>2.</w:t>
            </w:r>
            <w:r>
              <w:rPr>
                <w:rFonts w:asciiTheme="minorHAnsi" w:eastAsiaTheme="minorEastAsia" w:hAnsiTheme="minorHAnsi" w:cstheme="minorBidi"/>
                <w:noProof/>
                <w:kern w:val="2"/>
                <w:sz w:val="24"/>
                <w:szCs w:val="24"/>
                <w:lang w:eastAsia="es-CL"/>
                <w14:ligatures w14:val="standardContextual"/>
              </w:rPr>
              <w:tab/>
            </w:r>
            <w:r>
              <w:rPr>
                <w:rStyle w:val="Hipervnculo"/>
                <w:noProof/>
              </w:rPr>
              <w:t>Objetivos</w:t>
            </w:r>
            <w:r>
              <w:rPr>
                <w:noProof/>
                <w:webHidden/>
              </w:rPr>
              <w:tab/>
              <w:fldChar w:fldCharType="begin"/>
              <w:instrText xml:space="preserve"> PAGEREF _Toc229570765 \h </w:instrText>
              <w:fldChar w:fldCharType="separate"/>
              <w:t>8</w:t>
              <w:fldChar w:fldCharType="end"/>
            </w:r>
          </w:hyperlink>
        </w:p>
        <w:p w14:paraId="3506D5BC" w14:textId="039C5CBF" w:rsidR="0065180D" w:rsidRDefault="0065180D">
          <w:pPr>
            <w:pStyle w:val="TDC1"/>
            <w:tabs>
              <w:tab w:val="left" w:pos="440"/>
              <w:tab w:val="right" w:leader="dot" w:pos="8494"/>
            </w:tabs>
            <w:rPr>
              <w:rFonts w:asciiTheme="minorHAnsi" w:eastAsiaTheme="minorEastAsia" w:hAnsiTheme="minorHAnsi" w:cstheme="minorBidi"/>
              <w:noProof/>
              <w:kern w:val="2"/>
              <w:sz w:val="24"/>
              <w:szCs w:val="24"/>
              <w:lang w:eastAsia="es-CL"/>
              <w14:ligatures w14:val="standardContextual"/>
            </w:rPr>
          </w:pPr>
          <w:hyperlink w:anchor="_Toc229570766" w:history="1">
            <w:r>
              <w:rPr>
                <w:rStyle w:val="Hipervnculo"/>
                <w:noProof/>
              </w:rPr>
              <w:t>3.</w:t>
            </w:r>
            <w:r>
              <w:rPr>
                <w:rFonts w:asciiTheme="minorHAnsi" w:eastAsiaTheme="minorEastAsia" w:hAnsiTheme="minorHAnsi" w:cstheme="minorBidi"/>
                <w:noProof/>
                <w:kern w:val="2"/>
                <w:sz w:val="24"/>
                <w:szCs w:val="24"/>
                <w:lang w:eastAsia="es-CL"/>
                <w14:ligatures w14:val="standardContextual"/>
              </w:rPr>
              <w:tab/>
            </w:r>
            <w:r>
              <w:rPr>
                <w:rStyle w:val="Hipervnculo"/>
                <w:noProof/>
              </w:rPr>
              <w:t>Estado del arte y Marco Teórico</w:t>
            </w:r>
            <w:r>
              <w:rPr>
                <w:noProof/>
                <w:webHidden/>
              </w:rPr>
              <w:tab/>
              <w:fldChar w:fldCharType="begin"/>
              <w:instrText xml:space="preserve"> PAGEREF _Toc229570766 \h </w:instrText>
              <w:fldChar w:fldCharType="separate"/>
              <w:t>9</w:t>
              <w:fldChar w:fldCharType="end"/>
            </w:r>
          </w:hyperlink>
        </w:p>
        <w:p w14:paraId="62426BA1" w14:textId="028ED2AC" w:rsidR="0065180D" w:rsidRDefault="0065180D">
          <w:pPr>
            <w:pStyle w:val="TDC2"/>
            <w:tabs>
              <w:tab w:val="left" w:pos="960"/>
              <w:tab w:val="right" w:leader="dot" w:pos="8494"/>
            </w:tabs>
            <w:rPr>
              <w:rFonts w:asciiTheme="minorHAnsi" w:eastAsiaTheme="minorEastAsia" w:hAnsiTheme="minorHAnsi" w:cstheme="minorBidi"/>
              <w:noProof/>
              <w:kern w:val="2"/>
              <w:sz w:val="24"/>
              <w:szCs w:val="24"/>
              <w:lang w:eastAsia="es-CL"/>
              <w14:ligatures w14:val="standardContextual"/>
            </w:rPr>
          </w:pPr>
          <w:hyperlink w:anchor="_Toc229570767" w:history="1">
            <w:r>
              <w:rPr>
                <w:rStyle w:val="Hipervnculo"/>
                <w:noProof/>
              </w:rPr>
              <w:t>3.1.</w:t>
            </w:r>
            <w:r>
              <w:rPr>
                <w:rFonts w:asciiTheme="minorHAnsi" w:eastAsiaTheme="minorEastAsia" w:hAnsiTheme="minorHAnsi" w:cstheme="minorBidi"/>
                <w:noProof/>
                <w:kern w:val="2"/>
                <w:sz w:val="24"/>
                <w:szCs w:val="24"/>
                <w:lang w:eastAsia="es-CL"/>
                <w14:ligatures w14:val="standardContextual"/>
              </w:rPr>
              <w:tab/>
            </w:r>
            <w:r>
              <w:rPr>
                <w:rStyle w:val="Hipervnculo"/>
                <w:noProof/>
              </w:rPr>
              <w:t>Estado del Arte</w:t>
            </w:r>
            <w:r>
              <w:rPr>
                <w:noProof/>
                <w:webHidden/>
              </w:rPr>
              <w:tab/>
              <w:fldChar w:fldCharType="begin"/>
              <w:instrText xml:space="preserve"> PAGEREF _Toc229570767 \h </w:instrText>
              <w:fldChar w:fldCharType="separate"/>
              <w:t>9</w:t>
              <w:fldChar w:fldCharType="end"/>
            </w:r>
          </w:hyperlink>
        </w:p>
        <w:p w14:paraId="2927F3A1" w14:textId="4E5D10E7" w:rsidR="0065180D" w:rsidRDefault="0065180D">
          <w:pPr>
            <w:pStyle w:val="TDC2"/>
            <w:tabs>
              <w:tab w:val="left" w:pos="960"/>
              <w:tab w:val="right" w:leader="dot" w:pos="8494"/>
            </w:tabs>
            <w:rPr>
              <w:rFonts w:asciiTheme="minorHAnsi" w:eastAsiaTheme="minorEastAsia" w:hAnsiTheme="minorHAnsi" w:cstheme="minorBidi"/>
              <w:noProof/>
              <w:kern w:val="2"/>
              <w:sz w:val="24"/>
              <w:szCs w:val="24"/>
              <w:lang w:eastAsia="es-CL"/>
              <w14:ligatures w14:val="standardContextual"/>
            </w:rPr>
          </w:pPr>
          <w:hyperlink w:anchor="_Toc229570768" w:history="1">
            <w:r>
              <w:rPr>
                <w:rStyle w:val="Hipervnculo"/>
                <w:noProof/>
              </w:rPr>
              <w:t>3.2.</w:t>
            </w:r>
            <w:r>
              <w:rPr>
                <w:rFonts w:asciiTheme="minorHAnsi" w:eastAsiaTheme="minorEastAsia" w:hAnsiTheme="minorHAnsi" w:cstheme="minorBidi"/>
                <w:noProof/>
                <w:kern w:val="2"/>
                <w:sz w:val="24"/>
                <w:szCs w:val="24"/>
                <w:lang w:eastAsia="es-CL"/>
                <w14:ligatures w14:val="standardContextual"/>
              </w:rPr>
              <w:tab/>
            </w:r>
            <w:r>
              <w:rPr>
                <w:rStyle w:val="Hipervnculo"/>
                <w:noProof/>
              </w:rPr>
              <w:t>Marco Teórico</w:t>
            </w:r>
            <w:r>
              <w:rPr>
                <w:noProof/>
                <w:webHidden/>
              </w:rPr>
              <w:tab/>
              <w:fldChar w:fldCharType="begin"/>
              <w:instrText xml:space="preserve"> PAGEREF _Toc229570768 \h </w:instrText>
              <w:fldChar w:fldCharType="separate"/>
              <w:t>9</w:t>
              <w:fldChar w:fldCharType="end"/>
            </w:r>
          </w:hyperlink>
        </w:p>
        <w:p w14:paraId="7CBA2FCA" w14:textId="367766AC" w:rsidR="0065180D" w:rsidRDefault="0065180D">
          <w:pPr>
            <w:pStyle w:val="TDC1"/>
            <w:tabs>
              <w:tab w:val="left" w:pos="440"/>
              <w:tab w:val="right" w:leader="dot" w:pos="8494"/>
            </w:tabs>
            <w:rPr>
              <w:rFonts w:asciiTheme="minorHAnsi" w:eastAsiaTheme="minorEastAsia" w:hAnsiTheme="minorHAnsi" w:cstheme="minorBidi"/>
              <w:noProof/>
              <w:kern w:val="2"/>
              <w:sz w:val="24"/>
              <w:szCs w:val="24"/>
              <w:lang w:eastAsia="es-CL"/>
              <w14:ligatures w14:val="standardContextual"/>
            </w:rPr>
          </w:pPr>
          <w:hyperlink w:anchor="_Toc229570769" w:history="1">
            <w:r>
              <w:rPr>
                <w:rStyle w:val="Hipervnculo"/>
                <w:noProof/>
              </w:rPr>
              <w:t>4.</w:t>
            </w:r>
            <w:r>
              <w:rPr>
                <w:rFonts w:asciiTheme="minorHAnsi" w:eastAsiaTheme="minorEastAsia" w:hAnsiTheme="minorHAnsi" w:cstheme="minorBidi"/>
                <w:noProof/>
                <w:kern w:val="2"/>
                <w:sz w:val="24"/>
                <w:szCs w:val="24"/>
                <w:lang w:eastAsia="es-CL"/>
                <w14:ligatures w14:val="standardContextual"/>
              </w:rPr>
              <w:tab/>
            </w:r>
            <w:r>
              <w:rPr>
                <w:rStyle w:val="Hipervnculo"/>
                <w:noProof/>
              </w:rPr>
              <w:t>Metodología</w:t>
            </w:r>
            <w:r>
              <w:rPr>
                <w:noProof/>
                <w:webHidden/>
              </w:rPr>
              <w:tab/>
              <w:fldChar w:fldCharType="begin"/>
              <w:instrText xml:space="preserve"> PAGEREF _Toc229570769 \h </w:instrText>
              <w:fldChar w:fldCharType="separate"/>
              <w:t>12</w:t>
              <w:fldChar w:fldCharType="end"/>
            </w:r>
          </w:hyperlink>
        </w:p>
        <w:p w14:paraId="0DC86374" w14:textId="344841DB" w:rsidR="0065180D" w:rsidRDefault="0065180D">
          <w:pPr>
            <w:pStyle w:val="TDC2"/>
            <w:tabs>
              <w:tab w:val="left" w:pos="960"/>
              <w:tab w:val="right" w:leader="dot" w:pos="8494"/>
            </w:tabs>
            <w:rPr>
              <w:rFonts w:asciiTheme="minorHAnsi" w:eastAsiaTheme="minorEastAsia" w:hAnsiTheme="minorHAnsi" w:cstheme="minorBidi"/>
              <w:noProof/>
              <w:kern w:val="2"/>
              <w:sz w:val="24"/>
              <w:szCs w:val="24"/>
              <w:lang w:eastAsia="es-CL"/>
              <w14:ligatures w14:val="standardContextual"/>
            </w:rPr>
          </w:pPr>
          <w:hyperlink w:anchor="_Toc229570770" w:history="1">
            <w:r>
              <w:rPr>
                <w:rStyle w:val="Hipervnculo"/>
                <w:noProof/>
              </w:rPr>
              <w:t>4.1.</w:t>
            </w:r>
            <w:r>
              <w:rPr>
                <w:rFonts w:asciiTheme="minorHAnsi" w:eastAsiaTheme="minorEastAsia" w:hAnsiTheme="minorHAnsi" w:cstheme="minorBidi"/>
                <w:noProof/>
                <w:kern w:val="2"/>
                <w:sz w:val="24"/>
                <w:szCs w:val="24"/>
                <w:lang w:eastAsia="es-CL"/>
                <w14:ligatures w14:val="standardContextual"/>
              </w:rPr>
              <w:tab/>
            </w:r>
            <w:r>
              <w:rPr>
                <w:rStyle w:val="Hipervnculo"/>
                <w:noProof/>
                <w:shd w:val="clear" w:color="auto" w:fill="FFFFFF"/>
              </w:rPr>
              <w:t>Selección y adquisición de datos</w:t>
            </w:r>
            <w:r>
              <w:rPr>
                <w:noProof/>
                <w:webHidden/>
              </w:rPr>
              <w:tab/>
              <w:fldChar w:fldCharType="begin"/>
              <w:instrText xml:space="preserve"> PAGEREF _Toc229570770 \h </w:instrText>
              <w:fldChar w:fldCharType="separate"/>
              <w:t>12</w:t>
              <w:fldChar w:fldCharType="end"/>
            </w:r>
          </w:hyperlink>
        </w:p>
        <w:p w14:paraId="5B9C1169" w14:textId="253AA953" w:rsidR="0065180D" w:rsidRDefault="0065180D">
          <w:pPr>
            <w:pStyle w:val="TDC2"/>
            <w:tabs>
              <w:tab w:val="left" w:pos="960"/>
              <w:tab w:val="right" w:leader="dot" w:pos="8494"/>
            </w:tabs>
            <w:rPr>
              <w:rFonts w:asciiTheme="minorHAnsi" w:eastAsiaTheme="minorEastAsia" w:hAnsiTheme="minorHAnsi" w:cstheme="minorBidi"/>
              <w:noProof/>
              <w:kern w:val="2"/>
              <w:sz w:val="24"/>
              <w:szCs w:val="24"/>
              <w:lang w:eastAsia="es-CL"/>
              <w14:ligatures w14:val="standardContextual"/>
            </w:rPr>
          </w:pPr>
          <w:hyperlink w:anchor="_Toc229570771" w:history="1">
            <w:r>
              <w:rPr>
                <w:rStyle w:val="Hipervnculo"/>
                <w:noProof/>
              </w:rPr>
              <w:t>4.2.</w:t>
            </w:r>
            <w:r>
              <w:rPr>
                <w:rFonts w:asciiTheme="minorHAnsi" w:eastAsiaTheme="minorEastAsia" w:hAnsiTheme="minorHAnsi" w:cstheme="minorBidi"/>
                <w:noProof/>
                <w:kern w:val="2"/>
                <w:sz w:val="24"/>
                <w:szCs w:val="24"/>
                <w:lang w:eastAsia="es-CL"/>
                <w14:ligatures w14:val="standardContextual"/>
              </w:rPr>
              <w:tab/>
            </w:r>
            <w:r>
              <w:rPr>
                <w:rStyle w:val="Hipervnculo"/>
                <w:noProof/>
                <w:shd w:val="clear" w:color="auto" w:fill="FFFFFF"/>
              </w:rPr>
              <w:t>Preprocesado y limpieza de datos</w:t>
            </w:r>
            <w:r>
              <w:rPr>
                <w:noProof/>
                <w:webHidden/>
              </w:rPr>
              <w:tab/>
              <w:fldChar w:fldCharType="begin"/>
              <w:instrText xml:space="preserve"> PAGEREF _Toc229570771 \h </w:instrText>
              <w:fldChar w:fldCharType="separate"/>
              <w:t>12</w:t>
              <w:fldChar w:fldCharType="end"/>
            </w:r>
          </w:hyperlink>
        </w:p>
        <w:p w14:paraId="0D54D2CC" w14:textId="51FB5B40" w:rsidR="0065180D" w:rsidRDefault="0065180D">
          <w:pPr>
            <w:pStyle w:val="TDC2"/>
            <w:tabs>
              <w:tab w:val="left" w:pos="960"/>
              <w:tab w:val="right" w:leader="dot" w:pos="8494"/>
            </w:tabs>
            <w:rPr>
              <w:rFonts w:asciiTheme="minorHAnsi" w:eastAsiaTheme="minorEastAsia" w:hAnsiTheme="minorHAnsi" w:cstheme="minorBidi"/>
              <w:noProof/>
              <w:kern w:val="2"/>
              <w:sz w:val="24"/>
              <w:szCs w:val="24"/>
              <w:lang w:eastAsia="es-CL"/>
              <w14:ligatures w14:val="standardContextual"/>
            </w:rPr>
          </w:pPr>
          <w:hyperlink w:anchor="_Toc229570772" w:history="1">
            <w:r>
              <w:rPr>
                <w:rStyle w:val="Hipervnculo"/>
                <w:noProof/>
              </w:rPr>
              <w:t>4.3.</w:t>
            </w:r>
            <w:r>
              <w:rPr>
                <w:rFonts w:asciiTheme="minorHAnsi" w:eastAsiaTheme="minorEastAsia" w:hAnsiTheme="minorHAnsi" w:cstheme="minorBidi"/>
                <w:noProof/>
                <w:kern w:val="2"/>
                <w:sz w:val="24"/>
                <w:szCs w:val="24"/>
                <w:lang w:eastAsia="es-CL"/>
                <w14:ligatures w14:val="standardContextual"/>
              </w:rPr>
              <w:tab/>
            </w:r>
            <w:r>
              <w:rPr>
                <w:rStyle w:val="Hipervnculo"/>
                <w:noProof/>
                <w:shd w:val="clear" w:color="auto" w:fill="FFFFFF"/>
              </w:rPr>
              <w:t>Transformación de datos e ingeniería de características</w:t>
            </w:r>
            <w:r>
              <w:rPr>
                <w:noProof/>
                <w:webHidden/>
              </w:rPr>
              <w:tab/>
              <w:fldChar w:fldCharType="begin"/>
              <w:instrText xml:space="preserve"> PAGEREF _Toc229570772 \h </w:instrText>
              <w:fldChar w:fldCharType="separate"/>
              <w:t>13</w:t>
              <w:fldChar w:fldCharType="end"/>
            </w:r>
          </w:hyperlink>
        </w:p>
        <w:p w14:paraId="0A2793EF" w14:textId="1E558F35" w:rsidR="0065180D" w:rsidRDefault="0065180D">
          <w:pPr>
            <w:pStyle w:val="TDC2"/>
            <w:tabs>
              <w:tab w:val="left" w:pos="960"/>
              <w:tab w:val="right" w:leader="dot" w:pos="8494"/>
            </w:tabs>
            <w:rPr>
              <w:rFonts w:asciiTheme="minorHAnsi" w:eastAsiaTheme="minorEastAsia" w:hAnsiTheme="minorHAnsi" w:cstheme="minorBidi"/>
              <w:noProof/>
              <w:kern w:val="2"/>
              <w:sz w:val="24"/>
              <w:szCs w:val="24"/>
              <w:lang w:eastAsia="es-CL"/>
              <w14:ligatures w14:val="standardContextual"/>
            </w:rPr>
          </w:pPr>
          <w:hyperlink w:anchor="_Toc229570773" w:history="1">
            <w:r>
              <w:rPr>
                <w:rStyle w:val="Hipervnculo"/>
                <w:noProof/>
              </w:rPr>
              <w:t>4.4.</w:t>
            </w:r>
            <w:r>
              <w:rPr>
                <w:rFonts w:asciiTheme="minorHAnsi" w:eastAsiaTheme="minorEastAsia" w:hAnsiTheme="minorHAnsi" w:cstheme="minorBidi"/>
                <w:noProof/>
                <w:kern w:val="2"/>
                <w:sz w:val="24"/>
                <w:szCs w:val="24"/>
                <w:lang w:eastAsia="es-CL"/>
                <w14:ligatures w14:val="standardContextual"/>
              </w:rPr>
              <w:tab/>
            </w:r>
            <w:r>
              <w:rPr>
                <w:rStyle w:val="Hipervnculo"/>
                <w:noProof/>
                <w:shd w:val="clear" w:color="auto" w:fill="FFFFFF"/>
              </w:rPr>
              <w:t>Minería de datos y modelado predictivo</w:t>
            </w:r>
            <w:r>
              <w:rPr>
                <w:noProof/>
                <w:webHidden/>
              </w:rPr>
              <w:tab/>
              <w:fldChar w:fldCharType="begin"/>
              <w:instrText xml:space="preserve"> PAGEREF _Toc229570773 \h </w:instrText>
              <w:fldChar w:fldCharType="separate"/>
              <w:t>13</w:t>
              <w:fldChar w:fldCharType="end"/>
            </w:r>
          </w:hyperlink>
        </w:p>
        <w:p w14:paraId="2B62F7AA" w14:textId="32BD24B2" w:rsidR="0065180D" w:rsidRDefault="0065180D">
          <w:pPr>
            <w:pStyle w:val="TDC1"/>
            <w:tabs>
              <w:tab w:val="left" w:pos="440"/>
              <w:tab w:val="right" w:leader="dot" w:pos="8494"/>
            </w:tabs>
            <w:rPr>
              <w:rFonts w:asciiTheme="minorHAnsi" w:eastAsiaTheme="minorEastAsia" w:hAnsiTheme="minorHAnsi" w:cstheme="minorBidi"/>
              <w:noProof/>
              <w:kern w:val="2"/>
              <w:sz w:val="24"/>
              <w:szCs w:val="24"/>
              <w:lang w:eastAsia="es-CL"/>
              <w14:ligatures w14:val="standardContextual"/>
            </w:rPr>
          </w:pPr>
          <w:hyperlink w:anchor="_Toc229570774" w:history="1">
            <w:r>
              <w:rPr>
                <w:rStyle w:val="Hipervnculo"/>
                <w:noProof/>
              </w:rPr>
              <w:t>5.</w:t>
            </w:r>
            <w:r>
              <w:rPr>
                <w:rFonts w:asciiTheme="minorHAnsi" w:eastAsiaTheme="minorEastAsia" w:hAnsiTheme="minorHAnsi" w:cstheme="minorBidi"/>
                <w:noProof/>
                <w:kern w:val="2"/>
                <w:sz w:val="24"/>
                <w:szCs w:val="24"/>
                <w:lang w:eastAsia="es-CL"/>
                <w14:ligatures w14:val="standardContextual"/>
              </w:rPr>
              <w:tab/>
            </w:r>
            <w:r>
              <w:rPr>
                <w:rStyle w:val="Hipervnculo"/>
                <w:noProof/>
              </w:rPr>
              <w:t>Discusión</w:t>
            </w:r>
            <w:r>
              <w:rPr>
                <w:noProof/>
                <w:webHidden/>
              </w:rPr>
              <w:tab/>
              <w:fldChar w:fldCharType="begin"/>
              <w:instrText xml:space="preserve"> PAGEREF _Toc229570774 \h </w:instrText>
              <w:fldChar w:fldCharType="separate"/>
              <w:t>14</w:t>
              <w:fldChar w:fldCharType="end"/>
            </w:r>
          </w:hyperlink>
        </w:p>
        <w:p w14:paraId="0EC4054F" w14:textId="2B9D823C" w:rsidR="0065180D" w:rsidRDefault="0065180D">
          <w:pPr>
            <w:pStyle w:val="TDC1"/>
            <w:tabs>
              <w:tab w:val="left" w:pos="440"/>
              <w:tab w:val="right" w:leader="dot" w:pos="8494"/>
            </w:tabs>
            <w:rPr>
              <w:rFonts w:asciiTheme="minorHAnsi" w:eastAsiaTheme="minorEastAsia" w:hAnsiTheme="minorHAnsi" w:cstheme="minorBidi"/>
              <w:noProof/>
              <w:kern w:val="2"/>
              <w:sz w:val="24"/>
              <w:szCs w:val="24"/>
              <w:lang w:eastAsia="es-CL"/>
              <w14:ligatures w14:val="standardContextual"/>
            </w:rPr>
          </w:pPr>
          <w:hyperlink w:anchor="_Toc229570775" w:history="1">
            <w:r>
              <w:rPr>
                <w:rStyle w:val="Hipervnculo"/>
                <w:noProof/>
              </w:rPr>
              <w:t>6.</w:t>
            </w:r>
            <w:r>
              <w:rPr>
                <w:rFonts w:asciiTheme="minorHAnsi" w:eastAsiaTheme="minorEastAsia" w:hAnsiTheme="minorHAnsi" w:cstheme="minorBidi"/>
                <w:noProof/>
                <w:kern w:val="2"/>
                <w:sz w:val="24"/>
                <w:szCs w:val="24"/>
                <w:lang w:eastAsia="es-CL"/>
                <w14:ligatures w14:val="standardContextual"/>
              </w:rPr>
              <w:tab/>
            </w:r>
            <w:r>
              <w:rPr>
                <w:rStyle w:val="Hipervnculo"/>
                <w:noProof/>
              </w:rPr>
              <w:t>Conclusiones</w:t>
            </w:r>
            <w:r>
              <w:rPr>
                <w:noProof/>
                <w:webHidden/>
              </w:rPr>
              <w:tab/>
              <w:fldChar w:fldCharType="begin"/>
              <w:instrText xml:space="preserve"> PAGEREF _Toc229570775 \h </w:instrText>
              <w:fldChar w:fldCharType="separate"/>
              <w:t>15</w:t>
              <w:fldChar w:fldCharType="end"/>
            </w:r>
          </w:hyperlink>
        </w:p>
        <w:p w14:paraId="110C654B" w14:textId="35E588EA" w:rsidR="0065180D" w:rsidRDefault="0065180D">
          <w:pPr>
            <w:pStyle w:val="TDC1"/>
            <w:tabs>
              <w:tab w:val="left" w:pos="440"/>
              <w:tab w:val="right" w:leader="dot" w:pos="8494"/>
            </w:tabs>
            <w:rPr>
              <w:rFonts w:asciiTheme="minorHAnsi" w:eastAsiaTheme="minorEastAsia" w:hAnsiTheme="minorHAnsi" w:cstheme="minorBidi"/>
              <w:noProof/>
              <w:kern w:val="2"/>
              <w:sz w:val="24"/>
              <w:szCs w:val="24"/>
              <w:lang w:eastAsia="es-CL"/>
              <w14:ligatures w14:val="standardContextual"/>
            </w:rPr>
          </w:pPr>
          <w:hyperlink w:anchor="_Toc229570776" w:history="1">
            <w:r>
              <w:rPr>
                <w:rStyle w:val="Hipervnculo"/>
                <w:noProof/>
              </w:rPr>
              <w:t>7.</w:t>
            </w:r>
            <w:r>
              <w:rPr>
                <w:rFonts w:asciiTheme="minorHAnsi" w:eastAsiaTheme="minorEastAsia" w:hAnsiTheme="minorHAnsi" w:cstheme="minorBidi"/>
                <w:noProof/>
                <w:kern w:val="2"/>
                <w:sz w:val="24"/>
                <w:szCs w:val="24"/>
                <w:lang w:eastAsia="es-CL"/>
                <w14:ligatures w14:val="standardContextual"/>
              </w:rPr>
              <w:tab/>
            </w:r>
            <w:r>
              <w:rPr>
                <w:rStyle w:val="Hipervnculo"/>
                <w:noProof/>
              </w:rPr>
              <w:t>Referencias</w:t>
            </w:r>
            <w:r>
              <w:rPr>
                <w:noProof/>
                <w:webHidden/>
              </w:rPr>
              <w:tab/>
              <w:fldChar w:fldCharType="begin"/>
              <w:instrText xml:space="preserve"> PAGEREF _Toc229570776 \h </w:instrText>
              <w:fldChar w:fldCharType="separate"/>
              <w:t>16</w:t>
              <w:fldChar w:fldCharType="end"/>
            </w:r>
          </w:hyperlink>
        </w:p>
        <w:p w14:paraId="2396AD90" w14:textId="542B2072" w:rsidR="0065180D" w:rsidRDefault="0065180D">
          <w:pPr>
            <w:pStyle w:val="TDC2"/>
            <w:tabs>
              <w:tab w:val="right" w:leader="dot" w:pos="8494"/>
            </w:tabs>
            <w:rPr>
              <w:rFonts w:asciiTheme="minorHAnsi" w:eastAsiaTheme="minorEastAsia" w:hAnsiTheme="minorHAnsi" w:cstheme="minorBidi"/>
              <w:noProof/>
              <w:kern w:val="2"/>
              <w:sz w:val="24"/>
              <w:szCs w:val="24"/>
              <w:lang w:eastAsia="es-CL"/>
              <w14:ligatures w14:val="standardContextual"/>
            </w:rPr>
          </w:pPr>
          <w:hyperlink w:anchor="_Toc229570777" w:history="1">
            <w:r>
              <w:rPr>
                <w:rStyle w:val="Hipervnculo"/>
                <w:noProof/>
              </w:rPr>
              <w:t>Anexos</w:t>
            </w:r>
            <w:r>
              <w:rPr>
                <w:noProof/>
                <w:webHidden/>
              </w:rPr>
              <w:tab/>
              <w:fldChar w:fldCharType="begin"/>
              <w:instrText xml:space="preserve"> PAGEREF _Toc229570777 \h </w:instrText>
              <w:fldChar w:fldCharType="separate"/>
              <w:t>17</w:t>
              <w:fldChar w:fldCharType="end"/>
            </w:r>
          </w:hyperlink>
        </w:p>
        <w:p w14:paraId="2B6D0FC6" w14:textId="668D3371" w:rsidR="00CD2098" w:rsidRPr="0060240E" w:rsidRDefault="00CD2098" w:rsidP="00CD2098">
          <w:pPr>
            <w:pStyle w:val="TDC1"/>
            <w:tabs>
              <w:tab w:val="right" w:leader="dot" w:pos="8504"/>
            </w:tabs>
          </w:pPr>
          <w:r>
            <w:rPr>
              <w:rStyle w:val="Enlacedelndice"/>
            </w:rPr>
            <w:fldChar w:fldCharType="end"/>
          </w:r>
        </w:p>
      </w:sdtContent>
    </w:sdt>
    <w:p w14:paraId="5815749F" w14:textId="46A5E35C" w:rsidR="00CD2098" w:rsidRPr="0060240E" w:rsidRDefault="00CD2098" w:rsidP="00F205DB">
      <w:pPr>
        <w:pStyle w:val="Ttulo"/>
        <w:spacing w:after="240"/>
        <w:rPr>
          <w:b/>
          <w:bCs/>
          <w:sz w:val="32"/>
          <w:szCs w:val="32"/>
        </w:rPr>
      </w:pPr>
    </w:p>
    <w:p w14:paraId="76D43944" w14:textId="3EB0BEF1" w:rsidR="00CD2098" w:rsidRPr="0060240E" w:rsidRDefault="00CD2098" w:rsidP="002F0F31">
      <w:pPr>
        <w:spacing w:after="0" w:line="240" w:lineRule="auto"/>
        <w:jc w:val="left"/>
        <w:rPr>
          <w:rFonts w:asciiTheme="majorHAnsi" w:eastAsiaTheme="majorEastAsia" w:hAnsiTheme="majorHAnsi" w:cstheme="majorBidi"/>
          <w:b/>
          <w:bCs/>
          <w:spacing w:val="-10"/>
          <w:sz w:val="32"/>
          <w:szCs w:val="32"/>
        </w:rPr>
      </w:pPr>
      <w:r>
        <w:rPr>
          <w:b/>
          <w:bCs/>
          <w:sz w:val="32"/>
          <w:szCs w:val="32"/>
        </w:rPr>
        <w:br w:type="page"/>
      </w:r>
    </w:p>
    <w:p w14:paraId="017C0C90" w14:textId="391ACC72" w:rsidR="00906358" w:rsidRPr="0060240E" w:rsidRDefault="00A973DB" w:rsidP="00F205DB">
      <w:pPr>
        <w:pStyle w:val="Ttulo"/>
        <w:spacing w:after="240"/>
        <w:rPr>
          <w:rFonts w:ascii="Arial" w:hAnsi="Arial" w:cs="Arial"/>
          <w:b/>
          <w:bCs/>
          <w:sz w:val="36"/>
          <w:szCs w:val="36"/>
        </w:rPr>
      </w:pPr>
      <w:r>
        <w:rPr>
          <w:rFonts w:ascii="Arial" w:hAnsi="Arial" w:cs="Arial"/>
          <w:b/>
          <w:bCs/>
          <w:sz w:val="36"/>
          <w:szCs w:val="36"/>
        </w:rPr>
        <w:lastRenderedPageBreak/>
        <w:t>Índice de figuras y gráficos</w:t>
      </w:r>
    </w:p>
    <w:p>
      <w:r>
        <w:t>Figura 1. Distribución de clases (isFraud) en el dataset de entrenamiento. Transacciones legítimas (96,50 %) vs. fraudulentas (3,50 %), con diagrama de barras y gráfico circular.</w:t>
      </w:r>
    </w:p>
    <w:p>
      <w:r>
        <w:t>Figura 2. Distribución del importe de transacción (TransactionAmt) y evolución temporal (TransactionDT). Histogramas con escala logarítmica para capturar la asimetría extrema.</w:t>
      </w:r>
    </w:p>
    <w:p>
      <w:r>
        <w:t>Figura 3. Tasa de fraude por tipo de producto (ProductCD) y distribución de variables de tarjeta. Comparativa de tasas por categoría de producto.</w:t>
      </w:r>
    </w:p>
    <w:p>
      <w:r>
        <w:t>Figura 4. Análisis temporal: distribución horaria de transacciones y patrones de fraude a lo largo del ciclo día-semana.</w:t>
      </w:r>
    </w:p>
    <w:p>
      <w:r>
        <w:t>Figura 5. Matrices de confusión de los cinco modelos base (umbral = 0,5) sobre el conjunto de validación (118.108 transacciones).</w:t>
      </w:r>
    </w:p>
    <w:p>
      <w:r>
        <w:t>Figura 6. Matrices de confusión de los tres modelos optimizados (umbral óptimo) tras RandomizedSearchCV.</w:t>
      </w:r>
    </w:p>
    <w:p>
      <w:r>
        <w:t>Figura 7. Matriz de confusión del modelo LightGBM optimizado con SMOTE sobre el conjunto de validación (umbral óptimo).</w:t>
      </w:r>
    </w:p>
    <w:p>
      <w:r>
        <w:t>Figura 8. Distribución de probabilidades predichas por LightGBM — comparativa entre conjunto de test Kaggle y conjunto de validación.</w:t>
      </w:r>
    </w:p>
    <w:p>
      <w:r>
        <w:t>Figura 9. Resultado de la submission en Kaggle (Parte I): Public Score 0,9067 — Private Score 0,8545.</w:t>
      </w:r>
    </w:p>
    <w:p>
      <w:r>
        <w:t>Figura 10. Resultado de la submission en Kaggle (Etapa 7 — LightGBM + UID): Public Score 0,9554 — Private Score 0,9254.</w:t>
      </w:r>
    </w:p>
    <w:p>
      <w:r>
        <w:t>Figura 11. Curva F1-score vs. umbral de clasificación — Etapa 7 (OOF GroupKFold). Umbral óptimo: 0,68.</w:t>
      </w:r>
    </w:p>
    <w:p>
      <w:r>
        <w:t>Figura 12. Curva ROC comparativa: Etapa 7 (AUC OOF = 0,9514) vs. Parte I (AUC = 0,9680).</w:t>
      </w:r>
    </w:p>
    <w:p>
      <w:r>
        <w:t>Figura 13. Matriz de confusión del modelo Etapa 7 (GroupKFold, umbral = 0,68) sobre las 590.540 transacciones de entrenamiento.</w:t>
      </w:r>
    </w:p>
    <w:p>
      <w:r>
        <w:t>Figura 14. Importancias adversariales (LightGBM) y umbral de eliminación de features — Etapa 8.</w:t>
      </w:r>
    </w:p>
    <w:p>
      <w:r>
        <w:t>Figura 15. Comparativa AUC adversarial antes y después de la eliminación de features — Etapa 8.</w:t>
      </w:r>
    </w:p>
    <w:p>
      <w:r>
        <w:t>Figura 16. Resultado de la submission en Kaggle (Etapa 8 — Features limpias): Public Score 0,9508 — Private Score 0,9205.</w:t>
      </w:r>
    </w:p>
    <w:p>
      <w:r>
        <w:t>Figura 17. Comparativa AUC por fold GroupKFold × 6: LightGBM (Etapa 7) vs. XGBoost (Etapa 9).</w:t>
      </w:r>
    </w:p>
    <w:p>
      <w:r>
        <w:t>Figura 18. Efecto del post-procesamiento UID sobre la distribución de scores del conjunto de test (Etapa 9).</w:t>
      </w:r>
    </w:p>
    <w:p>
      <w:r>
        <w:t>Figura 19. Resultado de la submission en Kaggle (Etapa 9 — Ensemble LightGBM + XGBoost + UID): Public Score 0,9554 — Private Score 0,9254.</w:t>
      </w:r>
    </w:p>
    <w:p>
      <w:r>
        <w:t>Figura 20. AUC por fold y por seed — LightGBM Etapa 10 (Seed Averaging, 3 seeds × GroupKFold × 6). ⏳ Pendiente.</w:t>
      </w:r>
    </w:p>
    <w:p>
      <w:r>
        <w:t>Figura 21. Efecto del seed averaging y multi-UID post-procesamiento sobre la distribución de scores (Etapa 10). ⏳ Pendiente.</w:t>
      </w:r>
    </w:p>
    <w:p w14:paraId="7EF47ADC" w14:textId="4DF750AC" w:rsidR="00906358" w:rsidRPr="0060240E" w:rsidRDefault="00A973DB" w:rsidP="00F205DB">
      <w:pPr>
        <w:pStyle w:val="Ttulo"/>
        <w:spacing w:after="240"/>
        <w:rPr>
          <w:rFonts w:ascii="Arial" w:hAnsi="Arial" w:cs="Arial"/>
          <w:b/>
          <w:bCs/>
          <w:sz w:val="36"/>
          <w:szCs w:val="36"/>
        </w:rPr>
      </w:pPr>
      <w:r>
        <w:rPr>
          <w:rFonts w:ascii="Arial" w:hAnsi="Arial" w:cs="Arial"/>
          <w:b/>
          <w:bCs/>
          <w:sz w:val="36"/>
          <w:szCs w:val="36"/>
        </w:rPr>
        <w:lastRenderedPageBreak/>
        <w:t>Índice de tablas</w:t>
      </w:r>
    </w:p>
    <w:p>
      <w:r>
        <w:t>Tabla 1. Distribución de clases del conjunto de entrenamiento antes y después de aplicar SMOTE.</w:t>
      </w:r>
    </w:p>
    <w:p>
      <w:r>
        <w:t>Tabla 2. Comparativa de los seis algoritmos de aprendizaje supervisado evaluados.</w:t>
      </w:r>
    </w:p>
    <w:p>
      <w:r>
        <w:t>Tabla 3. Espacio de hiperparámetros explorado con RandomizedSearchCV (15 iteraciones, k = 3).</w:t>
      </w:r>
    </w:p>
    <w:p>
      <w:r>
        <w:t>Tabla 4. Estructura de la matriz de confusión para clasificación binaria de fraude.</w:t>
      </w:r>
    </w:p>
    <w:p>
      <w:r>
        <w:t>Tabla 5. Descripción de los bloques de variables del dataset IEEE-CIS Fraud Detection.</w:t>
      </w:r>
    </w:p>
    <w:p>
      <w:r>
        <w:t>Tabla E3.1. Comparativa de modelos base — Etapa 3 (sin optimización de hiperparámetros, umbral = 0,5).</w:t>
      </w:r>
    </w:p>
    <w:p>
      <w:r>
        <w:t>Tabla E4.1. Comparativa de modelos optimizados — Etapa 4 (RandomizedSearchCV, umbral óptimo por F1).</w:t>
      </w:r>
    </w:p>
    <w:p>
      <w:r>
        <w:t>Tabla D1. Progresión del rendimiento a lo largo del pipeline incremental (AUC-ROC Kaggle público y privado).</w:t>
      </w:r>
    </w:p>
    <w:p>
      <w:r>
        <w:t>Tabla D2. Comparativa de condiciones entre las soluciones top-25 de la competición y el presente trabajo (TFM).</w:t>
      </w:r>
    </w:p>
    <w:p>
      <w:r>
        <w:t>Tabla E7.1. Reporte de clasificación Etapa 7 — LightGBM GroupKFold (umbral = 0,68, OOF).</w:t>
      </w:r>
    </w:p>
    <w:p>
      <w:r>
        <w:t>Tabla E7.2. Comparativa de parámetros LightGBM: Parte I vs. Etapa 7.</w:t>
      </w:r>
    </w:p>
    <w:p>
      <w:r>
        <w:t>Tabla E9.1. Rendimiento por fold — Ensemble LightGBM + XGBoost, Etapa 9 (GroupKFold × 6).</w:t>
      </w:r>
    </w:p>
    <w:p>
      <w:r>
        <w:t>Tabla E9.2. Optimización de pesos del ensemble y alpha UID — Etapa 9.</w:t>
      </w:r>
    </w:p>
    <w:p>
      <w:r>
        <w:t>Tabla E9.3. Validación Kaggle — submission_etapa9.csv.</w:t>
      </w:r>
    </w:p>
    <w:p>
      <w:r>
        <w:t>Tabla E9.4. Avance acumulado — Parte I, Etapa 7, Etapa 8, Etapa 9.</w:t>
      </w:r>
    </w:p>
    <w:p>
      <w:r>
        <w:t>Tabla E10.1. Nuevas features de UIDs múltiples — Etapa 10 (uid2, uid3, uid4). ⏳ Pendiente.</w:t>
      </w:r>
    </w:p>
    <w:p>
      <w:r>
        <w:t>Tabla E10.2. Rendimiento seed averaging — LightGBM Etapa 10 (3 seeds × GroupKFold × 6). ⏳ Pendiente.</w:t>
      </w:r>
    </w:p>
    <w:p>
      <w:r>
        <w:t>Tabla E10.3. Avance acumulado final — todas las etapas. ⏳ Pendiente.</w:t>
      </w:r>
    </w:p>
    <w:p w14:paraId="6AE8186B" w14:textId="4F3A135F" w:rsidR="00906358" w:rsidRPr="0060240E" w:rsidRDefault="00A973DB" w:rsidP="00CE0B41">
      <w:pPr>
        <w:pStyle w:val="Ttulo1"/>
        <w:numPr>
          <w:ilvl w:val="0"/>
          <w:numId w:val="0"/>
        </w:numPr>
        <w:rPr>
          <w:b/>
          <w:sz w:val="36"/>
        </w:rPr>
      </w:pPr>
      <w:bookmarkStart w:id="1" w:name="_Toc229570762"/>
      <w:r>
        <w:rPr>
          <w:b/>
          <w:sz w:val="36"/>
        </w:rPr>
        <w:lastRenderedPageBreak/>
        <w:t>Resumen</w:t>
      </w:r>
      <w:bookmarkEnd w:id="1"/>
    </w:p>
    <w:p w14:paraId="64797830" w14:textId="4A54FBC2" w:rsidR="64797830" w:rsidRDefault="64797830">
      <w:pPr>
        <w:spacing w:after="160"/>
        <w:jc w:val="both"/>
      </w:pPr>
      <w:r>
        <w:rPr>
          <w:sz w:val="24"/>
        </w:rPr>
        <w:t xml:space="preserve">En la actualidad, el comercio electrónico procesa miles de millones de transacciones diarias a escala global, y con este crecimiento exponencial aumenta también la sofisticación de los fraudes financieros en línea. Estas actividades ilícitas no solo generan pérdidas económicas masivas para empresas e instituciones financieras, sino que erosionan profundamente la confianza del usuario final en las plataformas digitales. Los enfoques tradicionales basados en reglas estáticas y revisiones manuales han demostrado ser insuficientes para responder a la velocidad y complejidad de los ataques modernos, lo que justifica la adopción de técnicas de aprendizaje automático capaces de generalizar y adaptarse a patrones de fraude dinámicos (Dal Pozzolo et al., 2018; Qureshi et al., s.f.).</w:t>
      </w:r>
    </w:p>
    <w:p w14:paraId="00DC16A2" w14:textId="1D65E92F" w:rsidR="00DC16A2" w:rsidRDefault="00DC16A2">
      <w:pPr>
        <w:spacing w:after="160"/>
        <w:jc w:val="both"/>
      </w:pPr>
      <w:r>
        <w:rPr>
          <w:sz w:val="24"/>
        </w:rPr>
        <w:t xml:space="preserve">El presente Trabajo de Fin de Máster diseña, implementa y evalúa un sistema de detección de fraude en transacciones de comercio electrónico utilizando el dataset IEEE-CIS Fraud Detection de Kaggle (Howard et al., 2019), compuesto por 590.540 transacciones con un 3,50 % de fraude y un ratio de desbalanceo de 27,6:1. La metodología comprende seis etapas: integración y análisis exploratorio de los datos, ingeniería de características —que eleva la dimensionalidad de 434 a 713 variables—, entrenamiento de seis modelos base de aprendizaje supervisado (Regresión Logística, Árbol de Decisión, Random Forest, XGBoost, LightGBM y Perceptrón Multicapa), optimización de hiperparámetros mediante RandomizedSearchCV con validación cruzada estratificada, aplicación de SMOTE para el balanceo sintético de clases, y generación de predicciones finales sobre el conjunto de test de la competición, obteniendo 14.045 transacciones clasificadas como fraude (2,77 %) sobre un total de 506.691 operaciones evaluadas. La validación externa en la plataforma Kaggle confirma la capacidad de generalización del modelo, con un AUC-ROC público de 0,9067 y un AUC-ROC privado definitivo de 0,8545, evidenciando una degradación controlada respecto al AUC de validación local (0,9680) atribuible al desplazamiento temporal entre los conjuntos de entrenamiento y test. La Parte II del trabajo implementa ingeniería de características avanzada —identificador único de cliente (UID), normalización temporal de columnas D y validación GroupKFold mensual— elevando el AUC-ROC privado definitivo a 0,9254 (+0,0709) y reduciendo en un 77,1 % la brecha entre validación local y test, lo que confirma la efectividad de las técnicas adoptadas para mitigar el desplazamiento temporal.</w:t>
      </w:r>
    </w:p>
    <w:p w14:paraId="5230A11A" w14:textId="48E6A6DC" w:rsidR="5230A11A" w:rsidRDefault="5230A11A">
      <w:pPr>
        <w:spacing w:after="160"/>
        <w:jc w:val="both"/>
      </w:pPr>
      <w:r>
        <w:rPr>
          <w:sz w:val="24"/>
        </w:rPr>
        <w:t xml:space="preserve">Los resultados experimentales revelan que LightGBM se consolida como el modelo de mejor rendimiento con un AUC de 0,9680, F1-score de 0,7856, Precisión de 0,8797 y Recall de 0,7097, superando a XGBoost (AUC = 0,9541, F1 = 0,6727) y Random Forest (AUC = 0,9278, F1 = 0,6047). Un hallazgo metodológico relevante es que la aplicación de SMOTE sobre LightGBM produce únicamente mejoras marginales en AUC (+0,0016) con una ligera reducción del F1-score (−0,0069), evidenciando que el parámetro class_weight='balanced' del modelo ya gestiona de forma efectiva el desbalanceo de clases sin necesidad de remuestreo sintético externo. Con el umbral de decisión óptimo identificado (0,89), el modelo ganador detecta 2.933 de 4.133 transacciones fraudulentas reales en el conjunto de validación, generando únicamente 401 falsas alarmas sobre 113.975 transacciones legítimas.</w:t>
      </w:r>
    </w:p>
    <w:p w14:paraId="507E136C" w14:textId="3A9ABAD3" w:rsidR="507E136C" w:rsidRDefault="507E136C">
      <w:pPr>
        <w:spacing w:after="160"/>
        <w:jc w:val="both"/>
      </w:pPr>
      <w:r>
        <w:rPr>
          <w:b/>
          <w:sz w:val="24"/>
        </w:rPr>
        <w:t xml:space="preserve">Palabras clave: </w:t>
      </w:r>
      <w:r>
        <w:rPr>
          <w:sz w:val="24"/>
        </w:rPr>
        <w:t>Detección de fraude, Comercio electrónico, Aprendizaje automático, Desbalanceo de clases, LightGBM, SMOTE, IEEE-CIS Fraud Detection.</w:t>
      </w:r>
    </w:p>
    <w:p w14:paraId="4CBB8245" w14:textId="282EA860" w:rsidR="00CE0B41" w:rsidRPr="00C74A5D" w:rsidRDefault="00CE0B41" w:rsidP="00CE0B41">
      <w:pPr>
        <w:pStyle w:val="Ttulo1"/>
        <w:numPr>
          <w:ilvl w:val="0"/>
          <w:numId w:val="0"/>
        </w:numPr>
        <w:rPr>
          <w:b/>
          <w:sz w:val="36"/>
          <w:lang w:val="en-US"/>
        </w:rPr>
      </w:pPr>
      <w:bookmarkStart w:id="2" w:name="_Toc229570763"/>
      <w:r>
        <w:rPr>
          <w:b/>
          <w:sz w:val="36"/>
          <w:lang w:val="en-US"/>
        </w:rPr>
        <w:lastRenderedPageBreak/>
        <w:t>Abstract</w:t>
      </w:r>
      <w:bookmarkEnd w:id="2"/>
    </w:p>
    <w:p w14:paraId="7E0FB7D8" w14:textId="62B93A57" w:rsidR="7E0FB7D8" w:rsidRDefault="7E0FB7D8">
      <w:pPr>
        <w:spacing w:after="160"/>
        <w:jc w:val="both"/>
      </w:pPr>
      <w:r>
        <w:rPr>
          <w:sz w:val="24"/>
        </w:rPr>
        <w:t xml:space="preserve">E-commerce currently processes billions of daily transactions worldwide, and this exponential growth is accompanied by an equally rapid increase in the sophistication of online financial fraud. These illicit activities not only generate massive economic losses for companies and financial institutions, but also deeply erode consumer trust in digital platforms. Traditional rule-based and manual review approaches have proven insufficient to respond to the speed and complexity of modern attacks, justifying the adoption of machine learning techniques capable of generalizing to and adapting against dynamic fraud patterns (Dal Pozzolo et al., 2018; Qureshi et al., s.f.).</w:t>
      </w:r>
    </w:p>
    <w:p w14:paraId="7225BB43" w14:textId="751939C0" w:rsidR="7225BB43" w:rsidRDefault="7225BB43">
      <w:pPr>
        <w:spacing w:after="160"/>
        <w:jc w:val="both"/>
      </w:pPr>
      <w:r>
        <w:rPr>
          <w:sz w:val="24"/>
        </w:rPr>
        <w:t xml:space="preserve">This Master's Thesis designs, implements and evaluates a fraud detection system for e-commerce transactions using the IEEE-CIS Fraud Detection dataset from (Howard et al., 2019), comprising 590,540 transactions with a 3.50% fraud rate and a class imbalance ratio of 27.6:1. The methodology encompasses six stages: data integration and exploratory analysis, feature engineering —which increases dimensionality from 434 to 713 variables—, training of six supervised base models (Logistic Regression, Decision Tree, Random Forest, XGBoost, LightGBM and Multilayer Perceptron), hyperparameter optimization via RandomizedSearchCV with stratified cross-validation, SMOTE synthetic class balancing, and final prediction generation on the competition's test set, yielding 14,045 transactions classified as fraud (2.77%) out of 506,691 evaluated transactions. External validation on the Kaggle platform confirms the model's generalization capability, achieving a public AUC-ROC of 0.9067 and a definitive private AUC-ROC of 0.8545, representing a controlled degradation from the local validation AUC (0.9680) attributable to temporal distribution shift between the training and test sets. Part II of the work introduces advanced feature engineering — a unique client identifier (UID), temporal normalization of D-columns, and monthly GroupKFold validation — achieving a definitive private AUC-ROC of 0.9254 (+0.0709) and reducing the local-to-private validation gap by 77.1%, confirming the effectiveness of the adopted techniques in mitigating temporal distribution shift.</w:t>
      </w:r>
    </w:p>
    <w:p w14:paraId="24DE6576" w14:textId="2E039B25" w:rsidR="24DE6576" w:rsidRDefault="24DE6576">
      <w:pPr>
        <w:spacing w:after="160"/>
        <w:jc w:val="both"/>
      </w:pPr>
      <w:r>
        <w:rPr>
          <w:sz w:val="24"/>
        </w:rPr>
        <w:t xml:space="preserve">Experimental results reveal that LightGBM achieves the best performance with an AUC of 0.9680, F1-score of 0.7856, Precision of 0.8797 and Recall of 0.7097, outperforming XGBoost (AUC = 0.9541, F1 = 0.6727) and Random Forest (AUC = 0.9278, F1 = 0.6047). A key methodological finding is that applying SMOTE to LightGBM yields only marginal improvements in AUC (+0.0016) with a slight decrease in F1-score (−0.0069), demonstrating that the model's native class_weight='balanced' parameter already handles class imbalance effectively without external synthetic resampling. With the identified optimal decision threshold (0.89), the winning model detects 2,933 out of 4,133 real fraudulent transactions in the validation set, generating only 401 false alarms across 113,975 legitimate transactions.</w:t>
      </w:r>
    </w:p>
    <w:p w14:paraId="09EF04D8" w14:textId="3895F9FF" w:rsidR="09EF04D8" w:rsidRDefault="09EF04D8">
      <w:pPr>
        <w:spacing w:after="160"/>
        <w:jc w:val="both"/>
      </w:pPr>
      <w:r>
        <w:rPr>
          <w:b/>
          <w:sz w:val="24"/>
        </w:rPr>
        <w:t xml:space="preserve">Keywords: </w:t>
      </w:r>
      <w:r>
        <w:rPr>
          <w:sz w:val="24"/>
        </w:rPr>
        <w:t>Fraud detection, E-commerce, Machine learning, Class imbalance, LightGBM, SMOTE, IEEE-CIS Fraud Detection.</w:t>
      </w:r>
    </w:p>
    <w:p w14:paraId="69724CBC" w14:textId="5FA32692" w:rsidR="00906358" w:rsidRPr="00C74A5D" w:rsidRDefault="00906358">
      <w:pPr>
        <w:rPr>
          <w:lang w:val="en-US"/>
        </w:rPr>
      </w:pPr>
    </w:p>
    <w:p w14:paraId="60F6C739" w14:textId="1332F3F7" w:rsidR="00906358" w:rsidRPr="0060240E" w:rsidRDefault="00A973DB" w:rsidP="00234270">
      <w:pPr>
        <w:pStyle w:val="Ttulo1"/>
      </w:pPr>
      <w:bookmarkStart w:id="3" w:name="_Toc10030871"/>
      <w:bookmarkStart w:id="4" w:name="_Toc229570764"/>
      <w:bookmarkEnd w:id="3"/>
      <w:r>
        <w:lastRenderedPageBreak/>
        <w:t>Introducción</w:t>
      </w:r>
      <w:bookmarkEnd w:id="4"/>
    </w:p>
    <w:p w14:paraId="68F6935C" w14:textId="46438DE2" w:rsidR="68F6935C" w:rsidRDefault="68F6935C">
      <w:pPr>
        <w:spacing w:after="160"/>
        <w:jc w:val="both"/>
      </w:pPr>
      <w:r>
        <w:rPr>
          <w:sz w:val="24"/>
        </w:rPr>
        <w:t xml:space="preserve">La evolución digital ha transformado radicalmente la forma en que los consumidores adquieren bienes y servicios, posicionando al comercio electrónico como un pilar fundamental de la economía global. En 2023, las ventas minoristas en línea superaron los 5,8 billones de dólares a escala mundial, y se proyecta que esta cifra alcance los 8 billones para 2027. Sin embargo, este crecimiento sostenido tiene una contraparte alarmante: el fraude en pagos digitales se ha incrementado proporcionalmente, con pérdidas globales estimadas en más de 34.000 millones de dólares anuales (Qureshi et al., s.f.). Estas actividades ilícitas no solo representan pérdidas económicas para empresas e instituciones financieras, sino que erosionan profundamente la confianza del usuario final en las plataformas digitales. Tradicionalmente, la industria ha dependido de sistemas de verificación manual o de reglas estáticas para frenar estas amenazas, metodologías que hoy resultan ineficientes ante el volumen masivo de datos procesados y las tácticas cada vez más sofisticadas de los estafadores (Dal Pozzolo et al., 2018; Paruchuri, 2017).</w:t>
      </w:r>
    </w:p>
    <w:p w14:paraId="1110A8C6" w14:textId="3D5B36B9" w:rsidR="1110A8C6" w:rsidRDefault="1110A8C6">
      <w:pPr>
        <w:spacing w:after="160"/>
        <w:jc w:val="both"/>
      </w:pPr>
      <w:r>
        <w:rPr>
          <w:sz w:val="24"/>
        </w:rPr>
        <w:t xml:space="preserve">Ante esta realidad, el presente Trabajo de Fin de Máster aborda el problema de la detección de fraude mediante técnicas de Aprendizaje Automático, buscando diseñar y evaluar un sistema predictivo robusto y adaptable. La experimentación se fundamenta en el dataset IEEE-CIS Fraud Detection (Kaggle, 2019), un conjunto de datos de referencia en la investigación de este dominio que fusiona información transaccional con metadatos de identidad del comprador, abarcando desde las características de la tarjeta hasta el tipo de dispositivo y dominio de correo electrónico. Con 590.540 transacciones y 434 variables originales —ampliadas a 713 tras la ingeniería de características—, este dataset captura fielmente los retos operativos del comercio electrónico, especialmente el severo desbalanceo estadístico de 27,6:1 entre transacciones legítimas y fraudes. Se evaluaron seis algoritmos de clasificación supervisada —Regresión Logística, Árbol de Decisión, Random Forest, XGBoost, LightGBM y Perceptrón Multicapa— en un proceso experimental de seis etapas que culmina en la identificación de LightGBM como el modelo de mejor rendimiento con un AUC de 0,9680 y un F1-score de 0,7856 en validación local, y un AUC-ROC definitivo de 0,8545 en el leaderboard privado de Kaggle. La Parte II extiende este resultado mediante la incorporación de un identificador único de cliente (UID) y validación temporal GroupKFold, elevando el score privado a 0,9254 y reduciendo en un 77,1 % la brecha entre validación local y test externo.</w:t>
      </w:r>
    </w:p>
    <w:p w14:paraId="7A0014DD" w14:textId="13A58E02" w:rsidR="7A0014DD" w:rsidRDefault="7A0014DD">
      <w:pPr>
        <w:spacing w:after="160"/>
        <w:jc w:val="both"/>
      </w:pPr>
      <w:r>
        <w:rPr>
          <w:sz w:val="24"/>
        </w:rPr>
        <w:t xml:space="preserve">El documento se estructura en seis capítulos principales. Tras esta introducción y la definición de objetivos en el segundo capítulo, el tercer capítulo presenta el Estado del Arte y el Marco Teórico que sustentan el estudio, detallando la evolución histórica de los sistemas de detección de fraude, los seis algoritmos evaluados y las métricas de rendimiento utilizadas. El cuarto capítulo describe la metodología seguida, estructurada según las etapas del proceso de Descubrimiento de Conocimiento en Bases de Datos (KDD), abarcando desde el preprocesamiento y enriquecimiento de los datos hasta el entrenamiento y optimización de los modelos predictivos. El quinto capítulo presenta la discusión de los resultados obtenidos y el sexto las conclusiones del trabajo, incluyendo las limitaciones identificadas y las líneas de investigación futura para extender y fortalecer los resultados alcanzados.</w:t>
      </w:r>
    </w:p>
    <w:p w14:paraId="18910F61" w14:textId="0B177384" w:rsidR="00CE0B41" w:rsidRPr="0060240E" w:rsidRDefault="00CE0B41" w:rsidP="00234270">
      <w:pPr>
        <w:pStyle w:val="Ttulo1"/>
      </w:pPr>
      <w:bookmarkStart w:id="5" w:name="_Toc229570765"/>
      <w:r>
        <w:lastRenderedPageBreak/>
        <w:t>Objetivos</w:t>
      </w:r>
      <w:bookmarkEnd w:id="5"/>
    </w:p>
    <w:p w14:paraId="77F1997B" w14:textId="5E04AC3E" w:rsidR="77F1997B" w:rsidRDefault="77F1997B">
      <w:pPr>
        <w:spacing w:after="160"/>
        <w:jc w:val="both"/>
      </w:pPr>
      <w:r>
        <w:rPr>
          <w:sz w:val="24"/>
        </w:rPr>
        <w:t xml:space="preserve">El objetivo general de este Trabajo de Fin de Máster es diseñar, implementar y evaluar un sistema de detección de transacciones fraudulentas en plataformas de comercio electrónico mediante técnicas de Aprendizaje Automático, utilizando el dataset IEEE-CIS Fraud Detection como entorno experimental de referencia, con el fin de identificar el algoritmo y configuración metodológica más eficiente para este dominio y proporcionar evidencia empírica que fundamente recomendaciones para su implementación operativa en entornos reales de la industria de pagos digitales.</w:t>
      </w:r>
    </w:p>
    <w:p w14:paraId="6C666A03" w14:textId="364D25B9" w:rsidR="6C666A03" w:rsidRDefault="6C666A03">
      <w:pPr>
        <w:spacing w:after="160"/>
        <w:jc w:val="both"/>
      </w:pPr>
      <w:r>
        <w:rPr>
          <w:sz w:val="24"/>
        </w:rPr>
        <w:t xml:space="preserve">Para alcanzar esta meta de manera estructurada, el trabajo se apoya en los siguientes objetivos específicos, que trazan la hoja de ruta del desarrollo experimental:</w:t>
      </w:r>
    </w:p>
    <w:p w14:paraId="0DA0966C" w14:textId="3BA6A146" w:rsidR="0DA0966C" w:rsidRDefault="0DA0966C">
      <w:pPr>
        <w:spacing w:after="160"/>
        <w:jc w:val="both"/>
      </w:pPr>
      <w:r>
        <w:rPr>
          <w:sz w:val="24"/>
        </w:rPr>
        <w:t xml:space="preserve">1. Revisar el estado del arte y los fundamentos teóricos de la detección de fraude con aprendizaje automático para justificar la selección de algoritmos, métricas y estrategias de tratamiento del desbalanceo de clases del experimento, apoyándose en las revisiones sistemáticas más recientes de la literatura (Ayari et al., 2025; Noriega et al., 2023).</w:t>
      </w:r>
    </w:p>
    <w:p w14:paraId="639419E3" w14:textId="63F9C23E" w:rsidR="639419E3" w:rsidRDefault="639419E3">
      <w:pPr>
        <w:spacing w:after="160"/>
        <w:jc w:val="both"/>
      </w:pPr>
      <w:r>
        <w:rPr>
          <w:sz w:val="24"/>
        </w:rPr>
        <w:t xml:space="preserve">2. Integrar, limpiar y enriquecer el dataset IEEE-CIS Fraud Detection —fusionando las tablas transaccional e identidad mediante left join—, generando 713 features mediante ingeniería de características que incluye variables temporales, frecuencias de comportamiento de tarjeta, ratios de monto transaccional y flags de nulos.</w:t>
      </w:r>
    </w:p>
    <w:p w14:paraId="597B6A9D" w14:textId="4BCF985A" w:rsidR="597B6A9D" w:rsidRDefault="597B6A9D">
      <w:pPr>
        <w:spacing w:after="160"/>
        <w:jc w:val="both"/>
      </w:pPr>
      <w:r>
        <w:rPr>
          <w:sz w:val="24"/>
        </w:rPr>
        <w:t xml:space="preserve">3. Entrenar y evaluar seis modelos base de aprendizaje supervisado (Regresión Logística, Árbol de Decisión, Random Forest, XGBoost, LightGBM y Perceptrón Multicapa) sobre el dataset procesado, comparando su rendimiento mediante AUC-ROC, F1-score, Precisión y Recall, e interpretando las matrices de confusión resultantes.</w:t>
      </w:r>
    </w:p>
    <w:p w14:paraId="4F6696CE" w14:textId="3E37A4B6" w:rsidR="4F6696CE" w:rsidRDefault="4F6696CE">
      <w:pPr>
        <w:spacing w:after="160"/>
        <w:jc w:val="both"/>
      </w:pPr>
      <w:r>
        <w:rPr>
          <w:sz w:val="24"/>
        </w:rPr>
        <w:t xml:space="preserve">4. Optimizar los hiperparámetros de los tres modelos de ensamble de mejor rendimiento (Random Forest, XGBoost y LightGBM) mediante RandomizedSearchCV con validación cruzada estratificada (k = 3), e implementar la búsqueda sistemática del umbral de clasificación óptimo que maximice el F1-score sobre el conjunto de validación.</w:t>
      </w:r>
    </w:p>
    <w:p w14:paraId="2FBF0FAA" w14:textId="51FD7248" w:rsidR="2FBF0FAA" w:rsidRDefault="2FBF0FAA">
      <w:pPr>
        <w:spacing w:after="160"/>
        <w:jc w:val="both"/>
      </w:pPr>
      <w:r>
        <w:rPr>
          <w:sz w:val="24"/>
        </w:rPr>
        <w:t xml:space="preserve">5. Evaluar el impacto de la técnica SMOTE de balanceo sintético de clases sobre el modelo ganador LightGBM, comparando cuantitativamente su efecto con la estrategia de pesos balanceados nativamente incorporada en el algoritmo, y documentar los hallazgos metodológicos derivados de esta comparativa.</w:t>
      </w:r>
    </w:p>
    <w:p w14:paraId="49064BE9" w14:textId="6F8E2621" w:rsidR="49064BE9" w:rsidRDefault="49064BE9">
      <w:pPr>
        <w:spacing w:after="160"/>
        <w:jc w:val="both"/>
      </w:pPr>
      <w:r>
        <w:rPr>
          <w:sz w:val="24"/>
        </w:rPr>
        <w:t xml:space="preserve">6. Generar predicciones de probabilidad de fraude sobre el conjunto de test de la competición Kaggle con el modelo de mejor rendimiento identificado, interpretando los resultados desde una perspectiva operativa e identificando las limitaciones del sistema y las líneas de trabajo futuro más relevantes para fortalecer su desempeño en escenarios de producción reales.</w:t>
      </w:r>
    </w:p>
    <w:p w14:paraId="4FCCCFD2" w14:textId="500AD6D9" w:rsidR="00CE0B41" w:rsidRPr="0060240E" w:rsidRDefault="00CE0B41" w:rsidP="00234270">
      <w:pPr>
        <w:rPr>
          <w:b/>
        </w:rPr>
      </w:pPr>
    </w:p>
    <w:p w14:paraId="2D324290" w14:textId="3DB87B0F" w:rsidR="00EF1188" w:rsidRPr="0060240E" w:rsidRDefault="00EF1188">
      <w:pPr>
        <w:spacing w:after="0" w:line="240" w:lineRule="auto"/>
        <w:jc w:val="left"/>
        <w:rPr>
          <w:rFonts w:eastAsiaTheme="majorEastAsia"/>
          <w:color w:val="000000" w:themeColor="text1"/>
          <w:sz w:val="44"/>
          <w:szCs w:val="36"/>
        </w:rPr>
      </w:pPr>
      <w:r>
        <w:br w:type="page"/>
      </w:r>
    </w:p>
    <w:p w14:paraId="4A788665" w14:textId="437E3146" w:rsidR="00742537" w:rsidRPr="0060240E" w:rsidRDefault="00CE0B41" w:rsidP="00766CFB">
      <w:pPr>
        <w:pStyle w:val="Ttulo1"/>
      </w:pPr>
      <w:bookmarkStart w:id="6" w:name="_Toc229570766"/>
      <w:r>
        <w:lastRenderedPageBreak/>
        <w:t>Estado del arte y Marco Teórico</w:t>
      </w:r>
      <w:bookmarkEnd w:id="6"/>
    </w:p>
    <w:p w14:paraId="13FF113C" w14:textId="45F4ED4F" w:rsidR="00742537" w:rsidRPr="0060240E" w:rsidRDefault="00742537" w:rsidP="00166AB0">
      <w:pPr>
        <w:pStyle w:val="Ttulo2"/>
      </w:pPr>
      <w:bookmarkStart w:id="7" w:name="_Toc229570767"/>
      <w:r>
        <w:t>Estado del Arte</w:t>
      </w:r>
      <w:bookmarkEnd w:id="7"/>
    </w:p>
    <w:p w14:paraId="736DBFCA" w14:textId="0F3EB975" w:rsidR="00B74E12" w:rsidRDefault="00B74E12">
      <w:r>
        <w:t>La detección automática de fraudes financieros ha recorrido un largo camino desde sus primeras implementaciones basadas en reglas heurísticas hasta los sofisticados sistemas de aprendizaje profundo actuales. Las revisiones sistemáticas de la literatura publicadas en los últimos años revelan un panorama en constante transformación, donde la velocidad de adopción de nuevas técnicas de inteligencia artificial supera con creces a la de cualquier otro dominio de aplicación del aprendizaje automático. Paruchuri (2017) documentó las primeras décadas de esta evolución, identificando cómo los algoritmos de aprendizaje supervisado comenzaron a desplazar progresivamente a los sistemas expertos basados en reglas manuales, incapaces de escalar ante el crecimiento exponencial del volumen de transacciones digitales y ante la sofisticación creciente de los métodos de fraude.</w:t>
      </w:r>
    </w:p>
    <w:p w14:paraId="3ACACDB7" w14:textId="66C126F9" w:rsidR="00B74E12" w:rsidRDefault="00B74E12">
      <w:r>
        <w:t>Un hito fundamental en la consolidación del benchmarking algorítmico para el riesgo crediticio fue el trabajo de Lessmann et al. (2015), quienes compararon el rendimiento de 41 algoritmos de clasificación sobre 8 conjuntos de datos reales de credit scoring, actualizando el benchmark de referencia de la disciplina. Este estudio, publicado en el European Journal of Operational Research, determinó que los clasificadores de ensamble —en particular los métodos basados en Gradient Boosting— superaban consistentemente a los algoritmos lineales y a los árboles de decisión individuales en términos del Área Bajo la Curva ROC (AUC). Los resultados de Lessmann et al. (2015) establecieron asimismo que ningún algoritmo resulta óptimo en todos los contextos, sino que la selección debe orientarse por las características específicas del dataset y los costes operativos asociados a los errores de clasificación, sentando las bases metodológicas para las comparativas multicriteria que caracterizan la investigación contemporánea en este dominio.</w:t>
      </w:r>
    </w:p>
    <w:p w14:paraId="0C55F208" w14:textId="547E2BD9" w:rsidR="00B74E12" w:rsidRDefault="00B74E12">
      <w:r>
        <w:t xml:space="preserve">Más allá de las métricas de rendimiento estático, Dal Pozzolo et al. (2018) pusieron de manifiesto la complejidad real que enfrentan los sistemas de detección en producción. Su investigación, desarrollada en colaboración con la empresa de pagos Worldline, modeló tres desafíos operativos críticos que frecuentemente son ignorados en los estudios académicos clásicos: el desbalanceo masivo de clases, donde la tasa de fraude puede ser inferior al 1 %; la deriva de concepto (concept drift), mediante la cual los patrones de comportamiento fraudulento </w:t>
        <w:lastRenderedPageBreak/>
        <w:t>evolucionan dinámicamente a lo largo del tiempo; y la latencia en la verificación, que introduce un retardo entre la realización de la transacción y la confirmación definitiva de su naturaleza fraudulenta o legítima. La propuesta de Dal Pozzolo et al. (2018) de estrategias de entrenamiento con retroalimentación supervisada se ha convertido en una referencia metodológica para la industria de los pagos digitales, subrayando que cualquier sistema de detección de fraude debe ser diseñado teniendo en cuenta estas restricciones operativas para garantizar su viabilidad en entornos de producción reales.</w:t>
      </w:r>
    </w:p>
    <w:p w14:paraId="43006F4C" w14:textId="5D5BBCB6" w:rsidR="00B74E12" w:rsidRDefault="00B74E12">
      <w:r>
        <w:t>Las revisiones sistemáticas publicadas en los últimos años confirman la hegemonía de los métodos de ensamble en este dominio. Noriega et al. (2023) analizaron 52 estudios publicados entre 2019 y 2023 sobre la aplicación del aprendizaje automático al riesgo crediticio, identificando que XGBoost y Random Forest eran los algoritmos más frecuentemente reportados como ganadores en comparativas multicriteria. Su revisión señaló también la creciente importancia de la interpretabilidad de los modelos —mediante técnicas como SHAP y LIME— como requisito indispensable para la adopción industrial de sistemas de inteligencia artificial en el sector financiero regulado, donde las decisiones automatizadas deben poder ser auditadas y explicadas ante organismos regulatorios. En la misma línea, Ayari et al. (2025), en la revisión más reciente disponible sobre credit scoring con aprendizaje automático —abarcando 330 artículos publicados entre 2018 y 2024—, concluyeron que LightGBM se consolidaba como el algoritmo de mayor adopción en la literatura reciente, gracias a su eficiencia computacional, su manejo nativo del desbalanceo de clases y sus sobresalientes resultados empíricos en conjuntos de datos de alta dimensionalidad.</w:t>
      </w:r>
    </w:p>
    <w:p w14:paraId="58B89684" w14:textId="65FDED24" w:rsidR="00B74E12" w:rsidRDefault="00B74E12">
      <w:r>
        <w:t xml:space="preserve">En el ámbito específico del comercio electrónico, Qureshi et al. (s.f.) examinaron la aplicación de arquitecturas de aprendizaje profundo —concretamente redes neuronales convolucionales (CNN) y redes recurrentes (RNN/LSTM)— para la detección de fraudes en tiempo real. Sus resultados empíricos mostraron que las arquitecturas recurrentes LSTM alcanzaban el mayor F1-score (92,7 %) gracias a su capacidad para modelar las secuencias temporales de las transacciones de cada usuario, superando a los modelos CNN (91,8 %) y a los clasificadores clásicos como Random Forest (88,7 %). Este trabajo subraya que la dimensión temporal de los datos transaccionales —la secuencia de compras de un usuario a lo largo del tiempo— constituye una fuente de información predictiva que los modelos tabulares estáticos no explotan plenamente. Adicionalmente, los autores identificaron como limitaciones fundamentales de los métodos tradicionales su dependencia de reglas estáticas fácilmente </w:t>
        <w:lastRenderedPageBreak/>
        <w:t>eludibles y su elevada tasa de falsos positivos, que deteriora la experiencia del usuario legítimo y genera costes operativos significativos para las plataformas de e-commerce.</w:t>
      </w:r>
    </w:p>
    <w:p w14:paraId="4C42744F" w14:textId="77FBF519" w:rsidR="00B74E12" w:rsidRDefault="00B74E12">
      <w:r>
        <w:t>El tratamiento del desbalanceo de clases ha sido identificado en múltiples estudios como uno de los factores más determinantes del rendimiento real de los sistemas de detección de fraude. Tiwari et al. (s.f.) presentaron una taxonomía comprehensiva de las técnicas de detección, organizando los métodos en categorías según su enfoque de aprendizaje —supervisado, no supervisado e híbrido— y destacando que la aplicación de estrategias de balanceo sintético constituye un paso metodológico casi universal en los trabajos empíricos contemporáneos. La técnica SMOTE, introducida por Chawla et al. (2002), sigue siendo el estándar de facto en este campo, aunque investigaciones recientes han demostrado que, cuando el algoritmo base incorpora mecanismos propios de gestión del peso de las clases —como ocurre con LightGBM a través de su parámetro class_weight— el beneficio marginal de SMOTE puede reducirse significativamente, siendo el ajuste del umbral de decisión igualmente o más relevante que el remuestreo de los datos de entrenamiento (Noriega et al., 2023).</w:t>
      </w:r>
    </w:p>
    <w:p w14:paraId="393E4BCE" w14:textId="1C56FD6C" w:rsidR="00B74E12" w:rsidRDefault="00B74E12">
      <w:r>
        <w:t>En síntesis, la revisión de la literatura permite identificar varios consensos emergentes en la disciplina que enmarcan el presente trabajo. En primer lugar, los modelos de Gradient Boosting —y LightGBM en particular— representan el estado del arte para datos tabulares con alto desbalanceo, siendo consistentemente reportados como los de mejor rendimiento en las revisiones más recientes (Ayari et al., 2025; Noriega et al., 2023). En segundo lugar, la búsqueda del umbral óptimo de decisión es tan crítica como la propia elección del algoritmo, especialmente en contextos donde los costes asimétricos de los falsos negativos (fraudes no detectados) y los falsos positivos (bloqueos de transacciones legítimas) son radicalmente distintos. En tercer lugar, la interpretabilidad del modelo se ha convertido en un requisito no negociable para la adopción industrial en el sector financiero regulado (Noriega et al., 2023). El presente trabajo se posiciona en este contexto realizando una comparativa empírica rigurosa de algoritmos sobre el dataset IEEE-CIS Fraud Detection, incorporando todas las etapas identificadas como críticas en la literatura: ingeniería de características, manejo del desbalanceo, optimización de hiperparámetros y búsqueda del umbral óptimo de decisión.</w:t>
      </w:r>
    </w:p>
    <w:p w14:paraId="23B6B027" w14:textId="48297E22" w:rsidR="00F01A06" w:rsidRPr="0060240E" w:rsidRDefault="00F01A06" w:rsidP="00F01A06">
      <w:pPr>
        <w:pStyle w:val="Ttulo2"/>
      </w:pPr>
      <w:bookmarkStart w:id="8" w:name="_Toc229570768"/>
      <w:r>
        <w:lastRenderedPageBreak/>
        <w:t>Marco Teórico</w:t>
      </w:r>
      <w:bookmarkEnd w:id="8"/>
    </w:p>
    <w:p w14:paraId="3882F5A4" w14:textId="0F4E4DE4" w:rsidR="00B74E12" w:rsidRDefault="00B74E12">
      <w:pPr>
        <w:pStyle w:val="Ttulo3"/>
      </w:pPr>
      <w:r>
        <w:t>El problema del desbalanceo de clases y técnicas de balanceo</w:t>
      </w:r>
    </w:p>
    <w:p w14:paraId="4FB19E6E" w14:textId="309CCA56" w:rsidR="00B74E12" w:rsidRDefault="00B74E12">
      <w:r>
        <w:t>El desbalanceo de clases es una de las características más definitorias y problemáticas de los conjuntos de datos de fraude financiero. En el contexto operativo real, las transacciones fraudulentas representan típicamente entre el 0,1 % y el 5 % del total de registros, situando a los modelos de clasificación ante una distribución estadística profundamente asimétrica. El impacto de este desbalanceo es directo y severo: los algoritmos de aprendizaje automático, al optimizar métricas globales como la exactitud (accuracy), desarrollan una tendencia a clasificar todas las transacciones como legítimas, obteniendo valores de exactitud superiores al 95 % sin haber detectado ni un solo fraude (Noriega et al., 2023). Este fenómeno, conocido como la paradoja de la exactitud (accuracy paradox), hace que dicha métrica resulte completamente inadecuada para evaluar modelos en entornos de detección de anomalías. En el dataset utilizado en este trabajo, el ratio de desbalanceo alcanza 27,6:1, lo que hace que la gestión del desbalanceo sea una de las decisiones metodológicas más relevantes del experimento.</w:t>
      </w:r>
    </w:p>
    <w:p w14:paraId="616AAD0D" w14:textId="56B47CC0" w:rsidR="00B74E12" w:rsidRDefault="00B74E12">
      <w:r>
        <w:t xml:space="preserve">Para mitigar el desbalanceo de clases, la técnica más ampliamente adoptada en la literatura es SMOTE (Synthetic Minority Over-sampling Technique), propuesta por Chawla et al. (2002). SMOTE opera generando instancias sintéticas de la clase minoritaria mediante interpolación en el espacio de características: para cada muestra de la clase fraudulenta, el algoritmo identifica sus k vecinos más cercanos en dicho espacio (típicamente k = 5) y genera nuevas muestras artificiales a lo largo de los segmentos que conectan esa muestra con sus vecinos seleccionados aleatoriamente. Este proceso aumenta la representación de la clase minoritaria hasta alcanzar el ratio de balanceo deseado sin duplicar muestras existentes, lo que reduce el riesgo de sobreajuste asociado al sobremuestreo aleatorio simple. Investigaciones posteriores han desarrollado variantes como Borderline-SMOTE o ADASYN, que concentran la generación sintética en las regiones de decisión más inciertas; sin embargo, la versión original sigue siendo la más utilizada por su simplicidad y robustez empírica demostrada en múltiples dominios de aplicación (Tiwari et al., s.f.). Una alternativa complementaria a SMOTE es el uso del parámetro class_weight presente en la mayoría de los algoritmos de scikit-learn, que ajusta internamente </w:t>
        <w:lastRenderedPageBreak/>
        <w:t>los pesos de las muestras durante el entrenamiento de forma inversamente proporcional a la frecuencia de clase, sin necesidad de modificar el conjunto de datos.</w:t>
      </w:r>
    </w:p>
    <w:p w14:paraId="161DAC4E" w14:textId="3A826678" w:rsidR="161DAC4E" w:rsidRDefault="161DAC4E">
      <w:pPr>
        <w:spacing w:before="200" w:after="60"/>
      </w:pPr>
      <w:r>
        <w:rPr>
          <w:b/>
          <w:sz w:val="20"/>
        </w:rPr>
        <w:t xml:space="preserve">Tabla 1. Distribución de clases del conjunto de entrenamiento antes y después de aplicar SMOTE</w:t>
      </w:r>
    </w:p>
    <w:tbl>
      <w:tblPr>
        <w:tblW w:w="9026"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2400"/>
        <w:gridCol w:w="1956"/>
        <w:gridCol w:w="1956"/>
        <w:gridCol w:w="1356"/>
        <w:gridCol w:w="1358"/>
      </w:tblGrid>
      <w:tr>
        <w:trPr>
          <w:tblHeader/>
        </w:trPr>
        <w:tc>
          <w:tcPr>
            <w:tcW w:w="2400" w:type="dxa"/>
            <w:shading w:val="clear" w:color="auto" w:fill="D6E4F0"/>
            <w:tcMar>
              <w:top w:w="80" w:type="dxa"/>
              <w:left w:w="120" w:type="dxa"/>
              <w:bottom w:w="80" w:type="dxa"/>
              <w:right w:w="120" w:type="dxa"/>
            </w:tcMar>
          </w:tcPr>
          <w:p w14:paraId="4CAB9A58" w14:textId="2C37A95F">
            <w:pPr>
              <w:spacing w:after="60"/>
              <w:jc w:val="center"/>
            </w:pPr>
            <w:r>
              <w:rPr>
                <w:b/>
                <w:sz w:val="18"/>
              </w:rPr>
              <w:t xml:space="preserve">Condición</w:t>
            </w:r>
          </w:p>
        </w:tc>
        <w:tc>
          <w:tcPr>
            <w:tcW w:w="1956" w:type="dxa"/>
            <w:shading w:val="clear" w:color="auto" w:fill="D6E4F0"/>
            <w:tcMar>
              <w:top w:w="80" w:type="dxa"/>
              <w:left w:w="120" w:type="dxa"/>
              <w:bottom w:w="80" w:type="dxa"/>
              <w:right w:w="120" w:type="dxa"/>
            </w:tcMar>
          </w:tcPr>
          <w:p w14:paraId="53B7B86A" w14:textId="56463FD6">
            <w:pPr>
              <w:spacing w:after="60"/>
              <w:jc w:val="center"/>
            </w:pPr>
            <w:r>
              <w:rPr>
                <w:b/>
                <w:sz w:val="18"/>
              </w:rPr>
              <w:t xml:space="preserve">Clase 0 (Legítima)</w:t>
            </w:r>
          </w:p>
        </w:tc>
        <w:tc>
          <w:tcPr>
            <w:tcW w:w="1956" w:type="dxa"/>
            <w:shading w:val="clear" w:color="auto" w:fill="D6E4F0"/>
            <w:tcMar>
              <w:top w:w="80" w:type="dxa"/>
              <w:left w:w="120" w:type="dxa"/>
              <w:bottom w:w="80" w:type="dxa"/>
              <w:right w:w="120" w:type="dxa"/>
            </w:tcMar>
          </w:tcPr>
          <w:p w14:paraId="278C72ED" w14:textId="70F559F5">
            <w:pPr>
              <w:spacing w:after="60"/>
              <w:jc w:val="center"/>
            </w:pPr>
            <w:r>
              <w:rPr>
                <w:b/>
                <w:sz w:val="18"/>
              </w:rPr>
              <w:t xml:space="preserve">Clase 1 (Fraude)</w:t>
            </w:r>
          </w:p>
        </w:tc>
        <w:tc>
          <w:tcPr>
            <w:tcW w:w="1356" w:type="dxa"/>
            <w:shading w:val="clear" w:color="auto" w:fill="D6E4F0"/>
            <w:tcMar>
              <w:top w:w="80" w:type="dxa"/>
              <w:left w:w="120" w:type="dxa"/>
              <w:bottom w:w="80" w:type="dxa"/>
              <w:right w:w="120" w:type="dxa"/>
            </w:tcMar>
          </w:tcPr>
          <w:p w14:paraId="392613FE" w14:textId="4E9F99E6">
            <w:pPr>
              <w:spacing w:after="60"/>
              <w:jc w:val="center"/>
            </w:pPr>
            <w:r>
              <w:rPr>
                <w:b/>
                <w:sz w:val="18"/>
              </w:rPr>
              <w:t xml:space="preserve">Total registros</w:t>
            </w:r>
          </w:p>
        </w:tc>
        <w:tc>
          <w:tcPr>
            <w:tcW w:w="1358" w:type="dxa"/>
            <w:shading w:val="clear" w:color="auto" w:fill="D6E4F0"/>
            <w:tcMar>
              <w:top w:w="80" w:type="dxa"/>
              <w:left w:w="120" w:type="dxa"/>
              <w:bottom w:w="80" w:type="dxa"/>
              <w:right w:w="120" w:type="dxa"/>
            </w:tcMar>
          </w:tcPr>
          <w:p w14:paraId="1AAF8440" w14:textId="3CCA1E1A">
            <w:pPr>
              <w:spacing w:after="60"/>
              <w:jc w:val="center"/>
            </w:pPr>
            <w:r>
              <w:rPr>
                <w:b/>
                <w:sz w:val="18"/>
              </w:rPr>
              <w:t xml:space="preserve">Ratio</w:t>
            </w:r>
          </w:p>
        </w:tc>
      </w:tr>
      <w:tr>
        <w:tc>
          <w:tcPr>
            <w:tcW w:w="2400" w:type="dxa"/>
            <w:tcMar>
              <w:top w:w="80" w:type="dxa"/>
              <w:left w:w="120" w:type="dxa"/>
              <w:bottom w:w="80" w:type="dxa"/>
              <w:right w:w="120" w:type="dxa"/>
            </w:tcMar>
          </w:tcPr>
          <w:p w14:paraId="3FA89AFC" w14:textId="3E1C0C03">
            <w:pPr>
              <w:spacing w:after="60"/>
              <w:jc w:val="left"/>
            </w:pPr>
            <w:r>
              <w:rPr>
                <w:sz w:val="18"/>
              </w:rPr>
              <w:t xml:space="preserve">Antes de SMOTE</w:t>
            </w:r>
          </w:p>
        </w:tc>
        <w:tc>
          <w:tcPr>
            <w:tcW w:w="1956" w:type="dxa"/>
            <w:tcMar>
              <w:top w:w="80" w:type="dxa"/>
              <w:left w:w="120" w:type="dxa"/>
              <w:bottom w:w="80" w:type="dxa"/>
              <w:right w:w="120" w:type="dxa"/>
            </w:tcMar>
          </w:tcPr>
          <w:p w14:paraId="24F65456" w14:textId="318F0E57">
            <w:pPr>
              <w:spacing w:after="60"/>
              <w:jc w:val="left"/>
            </w:pPr>
            <w:r>
              <w:rPr>
                <w:sz w:val="18"/>
              </w:rPr>
              <w:t xml:space="preserve">455.902 (96,50 %)</w:t>
            </w:r>
          </w:p>
        </w:tc>
        <w:tc>
          <w:tcPr>
            <w:tcW w:w="1956" w:type="dxa"/>
            <w:tcMar>
              <w:top w:w="80" w:type="dxa"/>
              <w:left w:w="120" w:type="dxa"/>
              <w:bottom w:w="80" w:type="dxa"/>
              <w:right w:w="120" w:type="dxa"/>
            </w:tcMar>
          </w:tcPr>
          <w:p w14:paraId="1552D430" w14:textId="2F18B8D9">
            <w:pPr>
              <w:spacing w:after="60"/>
              <w:jc w:val="left"/>
            </w:pPr>
            <w:r>
              <w:rPr>
                <w:sz w:val="18"/>
              </w:rPr>
              <w:t xml:space="preserve">16.530 (3,50 %)</w:t>
            </w:r>
          </w:p>
        </w:tc>
        <w:tc>
          <w:tcPr>
            <w:tcW w:w="1356" w:type="dxa"/>
            <w:tcMar>
              <w:top w:w="80" w:type="dxa"/>
              <w:left w:w="120" w:type="dxa"/>
              <w:bottom w:w="80" w:type="dxa"/>
              <w:right w:w="120" w:type="dxa"/>
            </w:tcMar>
          </w:tcPr>
          <w:p w14:paraId="4DC0B6A0" w14:textId="789EFE69">
            <w:pPr>
              <w:spacing w:after="60"/>
              <w:jc w:val="left"/>
            </w:pPr>
            <w:r>
              <w:rPr>
                <w:sz w:val="18"/>
              </w:rPr>
              <w:t xml:space="preserve">472.432</w:t>
            </w:r>
          </w:p>
        </w:tc>
        <w:tc>
          <w:tcPr>
            <w:tcW w:w="1358" w:type="dxa"/>
            <w:tcMar>
              <w:top w:w="80" w:type="dxa"/>
              <w:left w:w="120" w:type="dxa"/>
              <w:bottom w:w="80" w:type="dxa"/>
              <w:right w:w="120" w:type="dxa"/>
            </w:tcMar>
          </w:tcPr>
          <w:p w14:paraId="47A5BF29" w14:textId="65EFA8E2">
            <w:pPr>
              <w:spacing w:after="60"/>
              <w:jc w:val="left"/>
            </w:pPr>
            <w:r>
              <w:rPr>
                <w:sz w:val="18"/>
              </w:rPr>
              <w:t xml:space="preserve">27,6:1</w:t>
            </w:r>
          </w:p>
        </w:tc>
      </w:tr>
      <w:tr>
        <w:tc>
          <w:tcPr>
            <w:tcW w:w="2400" w:type="dxa"/>
            <w:tcMar>
              <w:top w:w="80" w:type="dxa"/>
              <w:left w:w="120" w:type="dxa"/>
              <w:bottom w:w="80" w:type="dxa"/>
              <w:right w:w="120" w:type="dxa"/>
            </w:tcMar>
          </w:tcPr>
          <w:p w14:paraId="37B15F8F" w14:textId="51BE093F">
            <w:pPr>
              <w:spacing w:after="60"/>
              <w:jc w:val="left"/>
            </w:pPr>
            <w:r>
              <w:rPr>
                <w:sz w:val="18"/>
              </w:rPr>
              <w:t xml:space="preserve">Después de SMOTE</w:t>
            </w:r>
          </w:p>
        </w:tc>
        <w:tc>
          <w:tcPr>
            <w:tcW w:w="1956" w:type="dxa"/>
            <w:tcMar>
              <w:top w:w="80" w:type="dxa"/>
              <w:left w:w="120" w:type="dxa"/>
              <w:bottom w:w="80" w:type="dxa"/>
              <w:right w:w="120" w:type="dxa"/>
            </w:tcMar>
          </w:tcPr>
          <w:p w14:paraId="2EB46F2B" w14:textId="304BBA26">
            <w:pPr>
              <w:spacing w:after="60"/>
              <w:jc w:val="left"/>
            </w:pPr>
            <w:r>
              <w:rPr>
                <w:sz w:val="18"/>
              </w:rPr>
              <w:t xml:space="preserve">455.902 (50,00 %)</w:t>
            </w:r>
          </w:p>
        </w:tc>
        <w:tc>
          <w:tcPr>
            <w:tcW w:w="1956" w:type="dxa"/>
            <w:tcMar>
              <w:top w:w="80" w:type="dxa"/>
              <w:left w:w="120" w:type="dxa"/>
              <w:bottom w:w="80" w:type="dxa"/>
              <w:right w:w="120" w:type="dxa"/>
            </w:tcMar>
          </w:tcPr>
          <w:p w14:paraId="49907E69" w14:textId="496B9BCF">
            <w:pPr>
              <w:spacing w:after="60"/>
              <w:jc w:val="left"/>
            </w:pPr>
            <w:r>
              <w:rPr>
                <w:sz w:val="18"/>
              </w:rPr>
              <w:t xml:space="preserve">455.902 (50,00 %)</w:t>
            </w:r>
          </w:p>
        </w:tc>
        <w:tc>
          <w:tcPr>
            <w:tcW w:w="1356" w:type="dxa"/>
            <w:tcMar>
              <w:top w:w="80" w:type="dxa"/>
              <w:left w:w="120" w:type="dxa"/>
              <w:bottom w:w="80" w:type="dxa"/>
              <w:right w:w="120" w:type="dxa"/>
            </w:tcMar>
          </w:tcPr>
          <w:p w14:paraId="720857B3" w14:textId="6F501EAE">
            <w:pPr>
              <w:spacing w:after="60"/>
              <w:jc w:val="left"/>
            </w:pPr>
            <w:r>
              <w:rPr>
                <w:sz w:val="18"/>
              </w:rPr>
              <w:t xml:space="preserve">911.804</w:t>
            </w:r>
          </w:p>
        </w:tc>
        <w:tc>
          <w:tcPr>
            <w:tcW w:w="1358" w:type="dxa"/>
            <w:tcMar>
              <w:top w:w="80" w:type="dxa"/>
              <w:left w:w="120" w:type="dxa"/>
              <w:bottom w:w="80" w:type="dxa"/>
              <w:right w:w="120" w:type="dxa"/>
            </w:tcMar>
          </w:tcPr>
          <w:p w14:paraId="582B0B97" w14:textId="37B7598F">
            <w:pPr>
              <w:spacing w:after="60"/>
              <w:jc w:val="left"/>
            </w:pPr>
            <w:r>
              <w:rPr>
                <w:sz w:val="18"/>
              </w:rPr>
              <w:t xml:space="preserve">1:1</w:t>
            </w:r>
          </w:p>
        </w:tc>
      </w:tr>
    </w:tbl>
    <w:p w14:paraId="090D62E3" w14:textId="685B070F" w:rsidR="090D62E3" w:rsidRDefault="090D62E3">
      <w:pPr>
        <w:spacing w:before="60" w:after="200"/>
      </w:pPr>
      <w:r>
        <w:rPr>
          <w:i/>
          <w:sz w:val="18"/>
        </w:rPr>
        <w:t>Fuente: Elaboración propia. Datos del dataset IEEE-CIS Fraud Detection (Kaggle, 2019).</w:t>
      </w:r>
    </w:p>
    <w:p w14:paraId="143B21F3" w14:textId="253F9810" w:rsidR="00B74E12" w:rsidRDefault="00B74E12">
      <w:pPr>
        <w:pStyle w:val="Ttulo3"/>
      </w:pPr>
      <w:r>
        <w:t>Algoritmos de aprendizaje supervisado</w:t>
      </w:r>
    </w:p>
    <w:p w14:paraId="5F7A8A66" w14:textId="3005B259" w:rsidR="00B74E12" w:rsidRDefault="00B74E12">
      <w:r>
        <w:t>El aprendizaje supervisado comprende un conjunto de algoritmos que aprenden una función de mapeo desde un espacio de características de entrada hacia una variable objetivo, a partir de un conjunto de datos de entrenamiento etiquetado. En el contexto de la detección de fraude, el problema se formula como una tarea de clasificación binaria: dado un vector de características que describe una transacción, el modelo debe estimar la probabilidad de que dicha transacción sea fraudulenta. La selección del algoritmo supervisado más adecuado depende de múltiples factores, incluyendo el volumen y dimensionalidad del dataset, el grado de desbalanceo de clases, la presencia de valores faltantes y los requisitos de interpretabilidad del sistema (Lessmann et al., 2015; Ayari et al., 2025). A continuación se describen los seis algoritmos evaluados en el presente trabajo.</w:t>
      </w:r>
    </w:p>
    <w:p w14:paraId="4BB2DDD2" w14:textId="7E08BCBB" w:rsidR="4BB2DDD2" w:rsidRDefault="4BB2DDD2">
      <w:pPr>
        <w:spacing w:before="200" w:after="60"/>
      </w:pPr>
      <w:r>
        <w:rPr>
          <w:b/>
          <w:sz w:val="20"/>
        </w:rPr>
        <w:t xml:space="preserve">Tabla 2. Comparativa de los seis algoritmos de aprendizaje supervisado evaluados</w:t>
      </w:r>
    </w:p>
    <w:tbl>
      <w:tblPr>
        <w:tblW w:w="9026"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1900"/>
        <w:gridCol w:w="1700"/>
        <w:gridCol w:w="1326"/>
        <w:gridCol w:w="1700"/>
        <w:gridCol w:w="1200"/>
        <w:gridCol w:w="1200"/>
      </w:tblGrid>
      <w:tr>
        <w:trPr>
          <w:tblHeader/>
        </w:trPr>
        <w:tc>
          <w:tcPr>
            <w:tcW w:w="1900" w:type="dxa"/>
            <w:shading w:val="clear" w:color="auto" w:fill="D6E4F0"/>
            <w:tcMar>
              <w:top w:w="80" w:type="dxa"/>
              <w:left w:w="120" w:type="dxa"/>
              <w:bottom w:w="80" w:type="dxa"/>
              <w:right w:w="120" w:type="dxa"/>
            </w:tcMar>
          </w:tcPr>
          <w:p w14:paraId="75688006" w14:textId="57FF2BB8">
            <w:pPr>
              <w:spacing w:after="60"/>
              <w:jc w:val="center"/>
            </w:pPr>
            <w:r>
              <w:rPr>
                <w:b/>
                <w:sz w:val="18"/>
              </w:rPr>
              <w:t xml:space="preserve">Algoritmo</w:t>
            </w:r>
          </w:p>
        </w:tc>
        <w:tc>
          <w:tcPr>
            <w:tcW w:w="1700" w:type="dxa"/>
            <w:shading w:val="clear" w:color="auto" w:fill="D6E4F0"/>
            <w:tcMar>
              <w:top w:w="80" w:type="dxa"/>
              <w:left w:w="120" w:type="dxa"/>
              <w:bottom w:w="80" w:type="dxa"/>
              <w:right w:w="120" w:type="dxa"/>
            </w:tcMar>
          </w:tcPr>
          <w:p w14:paraId="5510CD2D" w14:textId="7EE3BBB0">
            <w:pPr>
              <w:spacing w:after="60"/>
              <w:jc w:val="center"/>
            </w:pPr>
            <w:r>
              <w:rPr>
                <w:b/>
                <w:sz w:val="18"/>
              </w:rPr>
              <w:t xml:space="preserve">Familia</w:t>
            </w:r>
          </w:p>
        </w:tc>
        <w:tc>
          <w:tcPr>
            <w:tcW w:w="1326" w:type="dxa"/>
            <w:shading w:val="clear" w:color="auto" w:fill="D6E4F0"/>
            <w:tcMar>
              <w:top w:w="80" w:type="dxa"/>
              <w:left w:w="120" w:type="dxa"/>
              <w:bottom w:w="80" w:type="dxa"/>
              <w:right w:w="120" w:type="dxa"/>
            </w:tcMar>
          </w:tcPr>
          <w:p w14:paraId="6D7CFBBC" w14:textId="10077F9B">
            <w:pPr>
              <w:spacing w:after="60"/>
              <w:jc w:val="center"/>
            </w:pPr>
            <w:r>
              <w:rPr>
                <w:b/>
                <w:sz w:val="18"/>
              </w:rPr>
              <w:t xml:space="preserve">Interpretabilidad</w:t>
            </w:r>
          </w:p>
        </w:tc>
        <w:tc>
          <w:tcPr>
            <w:tcW w:w="1700" w:type="dxa"/>
            <w:shading w:val="clear" w:color="auto" w:fill="D6E4F0"/>
            <w:tcMar>
              <w:top w:w="80" w:type="dxa"/>
              <w:left w:w="120" w:type="dxa"/>
              <w:bottom w:w="80" w:type="dxa"/>
              <w:right w:w="120" w:type="dxa"/>
            </w:tcMar>
          </w:tcPr>
          <w:p w14:paraId="462A1C06" w14:textId="13AE902C">
            <w:pPr>
              <w:spacing w:after="60"/>
              <w:jc w:val="center"/>
            </w:pPr>
            <w:r>
              <w:rPr>
                <w:b/>
                <w:sz w:val="18"/>
              </w:rPr>
              <w:t xml:space="preserve">Manejo desbalanceo nativo</w:t>
            </w:r>
          </w:p>
        </w:tc>
        <w:tc>
          <w:tcPr>
            <w:tcW w:w="1200" w:type="dxa"/>
            <w:shading w:val="clear" w:color="auto" w:fill="D6E4F0"/>
            <w:tcMar>
              <w:top w:w="80" w:type="dxa"/>
              <w:left w:w="120" w:type="dxa"/>
              <w:bottom w:w="80" w:type="dxa"/>
              <w:right w:w="120" w:type="dxa"/>
            </w:tcMar>
          </w:tcPr>
          <w:p w14:paraId="6FEA3E5F" w14:textId="6CFBAA0B">
            <w:pPr>
              <w:spacing w:after="60"/>
              <w:jc w:val="center"/>
            </w:pPr>
            <w:r>
              <w:rPr>
                <w:b/>
                <w:sz w:val="18"/>
              </w:rPr>
              <w:t xml:space="preserve">Outliers</w:t>
            </w:r>
          </w:p>
        </w:tc>
        <w:tc>
          <w:tcPr>
            <w:tcW w:w="1200" w:type="dxa"/>
            <w:shading w:val="clear" w:color="auto" w:fill="D6E4F0"/>
            <w:tcMar>
              <w:top w:w="80" w:type="dxa"/>
              <w:left w:w="120" w:type="dxa"/>
              <w:bottom w:w="80" w:type="dxa"/>
              <w:right w:w="120" w:type="dxa"/>
            </w:tcMar>
          </w:tcPr>
          <w:p w14:paraId="1B0AC789" w14:textId="140E0A7C">
            <w:pPr>
              <w:spacing w:after="60"/>
              <w:jc w:val="center"/>
            </w:pPr>
            <w:r>
              <w:rPr>
                <w:b/>
                <w:sz w:val="18"/>
              </w:rPr>
              <w:t xml:space="preserve">Coste computacional</w:t>
            </w:r>
          </w:p>
        </w:tc>
      </w:tr>
      <w:tr>
        <w:tc>
          <w:tcPr>
            <w:tcW w:w="1900" w:type="dxa"/>
            <w:tcMar>
              <w:top w:w="80" w:type="dxa"/>
              <w:left w:w="120" w:type="dxa"/>
              <w:bottom w:w="80" w:type="dxa"/>
              <w:right w:w="120" w:type="dxa"/>
            </w:tcMar>
          </w:tcPr>
          <w:p w14:paraId="231437CA" w14:textId="5724F3F7">
            <w:pPr>
              <w:spacing w:after="60"/>
              <w:jc w:val="left"/>
            </w:pPr>
            <w:r>
              <w:rPr>
                <w:sz w:val="18"/>
              </w:rPr>
              <w:t xml:space="preserve">Reg. Logística</w:t>
            </w:r>
          </w:p>
        </w:tc>
        <w:tc>
          <w:tcPr>
            <w:tcW w:w="1700" w:type="dxa"/>
            <w:tcMar>
              <w:top w:w="80" w:type="dxa"/>
              <w:left w:w="120" w:type="dxa"/>
              <w:bottom w:w="80" w:type="dxa"/>
              <w:right w:w="120" w:type="dxa"/>
            </w:tcMar>
          </w:tcPr>
          <w:p w14:paraId="746A851D" w14:textId="75E3AB62">
            <w:pPr>
              <w:spacing w:after="60"/>
              <w:jc w:val="left"/>
            </w:pPr>
            <w:r>
              <w:rPr>
                <w:sz w:val="18"/>
              </w:rPr>
              <w:t xml:space="preserve">Lineal</w:t>
            </w:r>
          </w:p>
        </w:tc>
        <w:tc>
          <w:tcPr>
            <w:tcW w:w="1326" w:type="dxa"/>
            <w:tcMar>
              <w:top w:w="80" w:type="dxa"/>
              <w:left w:w="120" w:type="dxa"/>
              <w:bottom w:w="80" w:type="dxa"/>
              <w:right w:w="120" w:type="dxa"/>
            </w:tcMar>
          </w:tcPr>
          <w:p w14:paraId="64A13906" w14:textId="2594489C">
            <w:pPr>
              <w:spacing w:after="60"/>
              <w:jc w:val="left"/>
            </w:pPr>
            <w:r>
              <w:rPr>
                <w:sz w:val="18"/>
              </w:rPr>
              <w:t xml:space="preserve">Alta</w:t>
            </w:r>
          </w:p>
        </w:tc>
        <w:tc>
          <w:tcPr>
            <w:tcW w:w="1700" w:type="dxa"/>
            <w:tcMar>
              <w:top w:w="80" w:type="dxa"/>
              <w:left w:w="120" w:type="dxa"/>
              <w:bottom w:w="80" w:type="dxa"/>
              <w:right w:w="120" w:type="dxa"/>
            </w:tcMar>
          </w:tcPr>
          <w:p w14:paraId="524265C8" w14:textId="2B3791BA">
            <w:pPr>
              <w:spacing w:after="60"/>
              <w:jc w:val="left"/>
            </w:pPr>
            <w:r>
              <w:rPr>
                <w:sz w:val="18"/>
              </w:rPr>
              <w:t xml:space="preserve">Sí (class_weight)</w:t>
            </w:r>
          </w:p>
        </w:tc>
        <w:tc>
          <w:tcPr>
            <w:tcW w:w="1200" w:type="dxa"/>
            <w:tcMar>
              <w:top w:w="80" w:type="dxa"/>
              <w:left w:w="120" w:type="dxa"/>
              <w:bottom w:w="80" w:type="dxa"/>
              <w:right w:w="120" w:type="dxa"/>
            </w:tcMar>
          </w:tcPr>
          <w:p w14:paraId="73ECFC3F" w14:textId="1A063AD7">
            <w:pPr>
              <w:spacing w:after="60"/>
              <w:jc w:val="left"/>
            </w:pPr>
            <w:r>
              <w:rPr>
                <w:sz w:val="18"/>
              </w:rPr>
              <w:t xml:space="preserve">Sensible</w:t>
            </w:r>
          </w:p>
        </w:tc>
        <w:tc>
          <w:tcPr>
            <w:tcW w:w="1200" w:type="dxa"/>
            <w:tcMar>
              <w:top w:w="80" w:type="dxa"/>
              <w:left w:w="120" w:type="dxa"/>
              <w:bottom w:w="80" w:type="dxa"/>
              <w:right w:w="120" w:type="dxa"/>
            </w:tcMar>
          </w:tcPr>
          <w:p w14:paraId="32EF322F" w14:textId="5638BBB6">
            <w:pPr>
              <w:spacing w:after="60"/>
              <w:jc w:val="left"/>
            </w:pPr>
            <w:r>
              <w:rPr>
                <w:sz w:val="18"/>
              </w:rPr>
              <w:t xml:space="preserve">Muy bajo</w:t>
            </w:r>
          </w:p>
        </w:tc>
      </w:tr>
      <w:tr>
        <w:tc>
          <w:tcPr>
            <w:tcW w:w="1900" w:type="dxa"/>
            <w:tcMar>
              <w:top w:w="80" w:type="dxa"/>
              <w:left w:w="120" w:type="dxa"/>
              <w:bottom w:w="80" w:type="dxa"/>
              <w:right w:w="120" w:type="dxa"/>
            </w:tcMar>
          </w:tcPr>
          <w:p w14:paraId="6A9D7785" w14:textId="553C64A6">
            <w:pPr>
              <w:spacing w:after="60"/>
              <w:jc w:val="left"/>
            </w:pPr>
            <w:r>
              <w:rPr>
                <w:sz w:val="18"/>
              </w:rPr>
              <w:t xml:space="preserve">Árbol Decisión</w:t>
            </w:r>
          </w:p>
        </w:tc>
        <w:tc>
          <w:tcPr>
            <w:tcW w:w="1700" w:type="dxa"/>
            <w:tcMar>
              <w:top w:w="80" w:type="dxa"/>
              <w:left w:w="120" w:type="dxa"/>
              <w:bottom w:w="80" w:type="dxa"/>
              <w:right w:w="120" w:type="dxa"/>
            </w:tcMar>
          </w:tcPr>
          <w:p w14:paraId="734B0396" w14:textId="70710ED9">
            <w:pPr>
              <w:spacing w:after="60"/>
              <w:jc w:val="left"/>
            </w:pPr>
            <w:r>
              <w:rPr>
                <w:sz w:val="18"/>
              </w:rPr>
              <w:t xml:space="preserve">Árbol</w:t>
            </w:r>
          </w:p>
        </w:tc>
        <w:tc>
          <w:tcPr>
            <w:tcW w:w="1326" w:type="dxa"/>
            <w:tcMar>
              <w:top w:w="80" w:type="dxa"/>
              <w:left w:w="120" w:type="dxa"/>
              <w:bottom w:w="80" w:type="dxa"/>
              <w:right w:w="120" w:type="dxa"/>
            </w:tcMar>
          </w:tcPr>
          <w:p w14:paraId="563CA8CE" w14:textId="4A812A3E">
            <w:pPr>
              <w:spacing w:after="60"/>
              <w:jc w:val="left"/>
            </w:pPr>
            <w:r>
              <w:rPr>
                <w:sz w:val="18"/>
              </w:rPr>
              <w:t xml:space="preserve">Alta</w:t>
            </w:r>
          </w:p>
        </w:tc>
        <w:tc>
          <w:tcPr>
            <w:tcW w:w="1700" w:type="dxa"/>
            <w:tcMar>
              <w:top w:w="80" w:type="dxa"/>
              <w:left w:w="120" w:type="dxa"/>
              <w:bottom w:w="80" w:type="dxa"/>
              <w:right w:w="120" w:type="dxa"/>
            </w:tcMar>
          </w:tcPr>
          <w:p w14:paraId="3B502527" w14:textId="52B37243">
            <w:pPr>
              <w:spacing w:after="60"/>
              <w:jc w:val="left"/>
            </w:pPr>
            <w:r>
              <w:rPr>
                <w:sz w:val="18"/>
              </w:rPr>
              <w:t xml:space="preserve">Sí (class_weight)</w:t>
            </w:r>
          </w:p>
        </w:tc>
        <w:tc>
          <w:tcPr>
            <w:tcW w:w="1200" w:type="dxa"/>
            <w:tcMar>
              <w:top w:w="80" w:type="dxa"/>
              <w:left w:w="120" w:type="dxa"/>
              <w:bottom w:w="80" w:type="dxa"/>
              <w:right w:w="120" w:type="dxa"/>
            </w:tcMar>
          </w:tcPr>
          <w:p w14:paraId="46BB6C0B" w14:textId="4D7876EA">
            <w:pPr>
              <w:spacing w:after="60"/>
              <w:jc w:val="left"/>
            </w:pPr>
            <w:r>
              <w:rPr>
                <w:sz w:val="18"/>
              </w:rPr>
              <w:t xml:space="preserve">Tolerante</w:t>
            </w:r>
          </w:p>
        </w:tc>
        <w:tc>
          <w:tcPr>
            <w:tcW w:w="1200" w:type="dxa"/>
            <w:tcMar>
              <w:top w:w="80" w:type="dxa"/>
              <w:left w:w="120" w:type="dxa"/>
              <w:bottom w:w="80" w:type="dxa"/>
              <w:right w:w="120" w:type="dxa"/>
            </w:tcMar>
          </w:tcPr>
          <w:p w14:paraId="2A8DB825" w14:textId="75A3073D">
            <w:pPr>
              <w:spacing w:after="60"/>
              <w:jc w:val="left"/>
            </w:pPr>
            <w:r>
              <w:rPr>
                <w:sz w:val="18"/>
              </w:rPr>
              <w:t xml:space="preserve">Bajo</w:t>
            </w:r>
          </w:p>
        </w:tc>
      </w:tr>
      <w:tr>
        <w:tc>
          <w:tcPr>
            <w:tcW w:w="1900" w:type="dxa"/>
            <w:tcMar>
              <w:top w:w="80" w:type="dxa"/>
              <w:left w:w="120" w:type="dxa"/>
              <w:bottom w:w="80" w:type="dxa"/>
              <w:right w:w="120" w:type="dxa"/>
            </w:tcMar>
          </w:tcPr>
          <w:p w14:paraId="2BE94547" w14:textId="57116FE8">
            <w:pPr>
              <w:spacing w:after="60"/>
              <w:jc w:val="left"/>
            </w:pPr>
            <w:r>
              <w:rPr>
                <w:sz w:val="18"/>
              </w:rPr>
              <w:t xml:space="preserve">Random Forest</w:t>
            </w:r>
          </w:p>
        </w:tc>
        <w:tc>
          <w:tcPr>
            <w:tcW w:w="1700" w:type="dxa"/>
            <w:tcMar>
              <w:top w:w="80" w:type="dxa"/>
              <w:left w:w="120" w:type="dxa"/>
              <w:bottom w:w="80" w:type="dxa"/>
              <w:right w:w="120" w:type="dxa"/>
            </w:tcMar>
          </w:tcPr>
          <w:p w14:paraId="566E0F2B" w14:textId="5780EC4D">
            <w:pPr>
              <w:spacing w:after="60"/>
              <w:jc w:val="left"/>
            </w:pPr>
            <w:r>
              <w:rPr>
                <w:sz w:val="18"/>
              </w:rPr>
              <w:t xml:space="preserve">Ensamble Bagging</w:t>
            </w:r>
          </w:p>
        </w:tc>
        <w:tc>
          <w:tcPr>
            <w:tcW w:w="1326" w:type="dxa"/>
            <w:tcMar>
              <w:top w:w="80" w:type="dxa"/>
              <w:left w:w="120" w:type="dxa"/>
              <w:bottom w:w="80" w:type="dxa"/>
              <w:right w:w="120" w:type="dxa"/>
            </w:tcMar>
          </w:tcPr>
          <w:p w14:paraId="184C26A7" w14:textId="6AA4FF58">
            <w:pPr>
              <w:spacing w:after="60"/>
              <w:jc w:val="left"/>
            </w:pPr>
            <w:r>
              <w:rPr>
                <w:sz w:val="18"/>
              </w:rPr>
              <w:t xml:space="preserve">Media</w:t>
            </w:r>
          </w:p>
        </w:tc>
        <w:tc>
          <w:tcPr>
            <w:tcW w:w="1700" w:type="dxa"/>
            <w:tcMar>
              <w:top w:w="80" w:type="dxa"/>
              <w:left w:w="120" w:type="dxa"/>
              <w:bottom w:w="80" w:type="dxa"/>
              <w:right w:w="120" w:type="dxa"/>
            </w:tcMar>
          </w:tcPr>
          <w:p w14:paraId="1EB99D15" w14:textId="1DC7FCAD">
            <w:pPr>
              <w:spacing w:after="60"/>
              <w:jc w:val="left"/>
            </w:pPr>
            <w:r>
              <w:rPr>
                <w:sz w:val="18"/>
              </w:rPr>
              <w:t xml:space="preserve">Sí (class_weight)</w:t>
            </w:r>
          </w:p>
        </w:tc>
        <w:tc>
          <w:tcPr>
            <w:tcW w:w="1200" w:type="dxa"/>
            <w:tcMar>
              <w:top w:w="80" w:type="dxa"/>
              <w:left w:w="120" w:type="dxa"/>
              <w:bottom w:w="80" w:type="dxa"/>
              <w:right w:w="120" w:type="dxa"/>
            </w:tcMar>
          </w:tcPr>
          <w:p w14:paraId="3064D5D8" w14:textId="63BE8338">
            <w:pPr>
              <w:spacing w:after="60"/>
              <w:jc w:val="left"/>
            </w:pPr>
            <w:r>
              <w:rPr>
                <w:sz w:val="18"/>
              </w:rPr>
              <w:t xml:space="preserve">Tolerante</w:t>
            </w:r>
          </w:p>
        </w:tc>
        <w:tc>
          <w:tcPr>
            <w:tcW w:w="1200" w:type="dxa"/>
            <w:tcMar>
              <w:top w:w="80" w:type="dxa"/>
              <w:left w:w="120" w:type="dxa"/>
              <w:bottom w:w="80" w:type="dxa"/>
              <w:right w:w="120" w:type="dxa"/>
            </w:tcMar>
          </w:tcPr>
          <w:p w14:paraId="2D83FC4F" w14:textId="2B6FB92D">
            <w:pPr>
              <w:spacing w:after="60"/>
              <w:jc w:val="left"/>
            </w:pPr>
            <w:r>
              <w:rPr>
                <w:sz w:val="18"/>
              </w:rPr>
              <w:t xml:space="preserve">Medio</w:t>
            </w:r>
          </w:p>
        </w:tc>
      </w:tr>
      <w:tr>
        <w:tc>
          <w:tcPr>
            <w:tcW w:w="1900" w:type="dxa"/>
            <w:tcMar>
              <w:top w:w="80" w:type="dxa"/>
              <w:left w:w="120" w:type="dxa"/>
              <w:bottom w:w="80" w:type="dxa"/>
              <w:right w:w="120" w:type="dxa"/>
            </w:tcMar>
          </w:tcPr>
          <w:p w14:paraId="79E8D345" w14:textId="47B921AF">
            <w:pPr>
              <w:spacing w:after="60"/>
              <w:jc w:val="left"/>
            </w:pPr>
            <w:r>
              <w:rPr>
                <w:sz w:val="18"/>
              </w:rPr>
              <w:t xml:space="preserve">XGBoost</w:t>
            </w:r>
          </w:p>
        </w:tc>
        <w:tc>
          <w:tcPr>
            <w:tcW w:w="1700" w:type="dxa"/>
            <w:tcMar>
              <w:top w:w="80" w:type="dxa"/>
              <w:left w:w="120" w:type="dxa"/>
              <w:bottom w:w="80" w:type="dxa"/>
              <w:right w:w="120" w:type="dxa"/>
            </w:tcMar>
          </w:tcPr>
          <w:p w14:paraId="58660AAB" w14:textId="4DC66A96">
            <w:pPr>
              <w:spacing w:after="60"/>
              <w:jc w:val="left"/>
            </w:pPr>
            <w:r>
              <w:rPr>
                <w:sz w:val="18"/>
              </w:rPr>
              <w:t xml:space="preserve">Ensamble Boosting</w:t>
            </w:r>
          </w:p>
        </w:tc>
        <w:tc>
          <w:tcPr>
            <w:tcW w:w="1326" w:type="dxa"/>
            <w:tcMar>
              <w:top w:w="80" w:type="dxa"/>
              <w:left w:w="120" w:type="dxa"/>
              <w:bottom w:w="80" w:type="dxa"/>
              <w:right w:w="120" w:type="dxa"/>
            </w:tcMar>
          </w:tcPr>
          <w:p w14:paraId="1918FAB0" w14:textId="65943E36">
            <w:pPr>
              <w:spacing w:after="60"/>
              <w:jc w:val="left"/>
            </w:pPr>
            <w:r>
              <w:rPr>
                <w:sz w:val="18"/>
              </w:rPr>
              <w:t xml:space="preserve">Baja</w:t>
            </w:r>
          </w:p>
        </w:tc>
        <w:tc>
          <w:tcPr>
            <w:tcW w:w="1700" w:type="dxa"/>
            <w:tcMar>
              <w:top w:w="80" w:type="dxa"/>
              <w:left w:w="120" w:type="dxa"/>
              <w:bottom w:w="80" w:type="dxa"/>
              <w:right w:w="120" w:type="dxa"/>
            </w:tcMar>
          </w:tcPr>
          <w:p w14:paraId="36BC65FC" w14:textId="399F16A7">
            <w:pPr>
              <w:spacing w:after="60"/>
              <w:jc w:val="left"/>
            </w:pPr>
            <w:r>
              <w:rPr>
                <w:sz w:val="18"/>
              </w:rPr>
              <w:t xml:space="preserve">Sí (scale_pos_weight)</w:t>
            </w:r>
          </w:p>
        </w:tc>
        <w:tc>
          <w:tcPr>
            <w:tcW w:w="1200" w:type="dxa"/>
            <w:tcMar>
              <w:top w:w="80" w:type="dxa"/>
              <w:left w:w="120" w:type="dxa"/>
              <w:bottom w:w="80" w:type="dxa"/>
              <w:right w:w="120" w:type="dxa"/>
            </w:tcMar>
          </w:tcPr>
          <w:p w14:paraId="4E23F428" w14:textId="53C3D504">
            <w:pPr>
              <w:spacing w:after="60"/>
              <w:jc w:val="left"/>
            </w:pPr>
            <w:r>
              <w:rPr>
                <w:sz w:val="18"/>
              </w:rPr>
              <w:t xml:space="preserve">Tolerante</w:t>
            </w:r>
          </w:p>
        </w:tc>
        <w:tc>
          <w:tcPr>
            <w:tcW w:w="1200" w:type="dxa"/>
            <w:tcMar>
              <w:top w:w="80" w:type="dxa"/>
              <w:left w:w="120" w:type="dxa"/>
              <w:bottom w:w="80" w:type="dxa"/>
              <w:right w:w="120" w:type="dxa"/>
            </w:tcMar>
          </w:tcPr>
          <w:p w14:paraId="49A5029B" w14:textId="12CFDAB0">
            <w:pPr>
              <w:spacing w:after="60"/>
              <w:jc w:val="left"/>
            </w:pPr>
            <w:r>
              <w:rPr>
                <w:sz w:val="18"/>
              </w:rPr>
              <w:t xml:space="preserve">Medio-alto</w:t>
            </w:r>
          </w:p>
        </w:tc>
      </w:tr>
      <w:tr>
        <w:tc>
          <w:tcPr>
            <w:tcW w:w="1900" w:type="dxa"/>
            <w:tcMar>
              <w:top w:w="80" w:type="dxa"/>
              <w:left w:w="120" w:type="dxa"/>
              <w:bottom w:w="80" w:type="dxa"/>
              <w:right w:w="120" w:type="dxa"/>
            </w:tcMar>
          </w:tcPr>
          <w:p w14:paraId="13B3EC94" w14:textId="3F051A3A">
            <w:pPr>
              <w:spacing w:after="60"/>
              <w:jc w:val="left"/>
            </w:pPr>
            <w:r>
              <w:rPr>
                <w:sz w:val="18"/>
              </w:rPr>
              <w:t xml:space="preserve">LightGBM</w:t>
            </w:r>
          </w:p>
        </w:tc>
        <w:tc>
          <w:tcPr>
            <w:tcW w:w="1700" w:type="dxa"/>
            <w:tcMar>
              <w:top w:w="80" w:type="dxa"/>
              <w:left w:w="120" w:type="dxa"/>
              <w:bottom w:w="80" w:type="dxa"/>
              <w:right w:w="120" w:type="dxa"/>
            </w:tcMar>
          </w:tcPr>
          <w:p w14:paraId="21F5C463" w14:textId="2F46AA35">
            <w:pPr>
              <w:spacing w:after="60"/>
              <w:jc w:val="left"/>
            </w:pPr>
            <w:r>
              <w:rPr>
                <w:sz w:val="18"/>
              </w:rPr>
              <w:t xml:space="preserve">Ensamble Boosting</w:t>
            </w:r>
          </w:p>
        </w:tc>
        <w:tc>
          <w:tcPr>
            <w:tcW w:w="1326" w:type="dxa"/>
            <w:tcMar>
              <w:top w:w="80" w:type="dxa"/>
              <w:left w:w="120" w:type="dxa"/>
              <w:bottom w:w="80" w:type="dxa"/>
              <w:right w:w="120" w:type="dxa"/>
            </w:tcMar>
          </w:tcPr>
          <w:p w14:paraId="16E6BF7D" w14:textId="49A6EA72">
            <w:pPr>
              <w:spacing w:after="60"/>
              <w:jc w:val="left"/>
            </w:pPr>
            <w:r>
              <w:rPr>
                <w:sz w:val="18"/>
              </w:rPr>
              <w:t xml:space="preserve">Baja</w:t>
            </w:r>
          </w:p>
        </w:tc>
        <w:tc>
          <w:tcPr>
            <w:tcW w:w="1700" w:type="dxa"/>
            <w:tcMar>
              <w:top w:w="80" w:type="dxa"/>
              <w:left w:w="120" w:type="dxa"/>
              <w:bottom w:w="80" w:type="dxa"/>
              <w:right w:w="120" w:type="dxa"/>
            </w:tcMar>
          </w:tcPr>
          <w:p w14:paraId="6A5504BA" w14:textId="1E4C46F2">
            <w:pPr>
              <w:spacing w:after="60"/>
              <w:jc w:val="left"/>
            </w:pPr>
            <w:r>
              <w:rPr>
                <w:sz w:val="18"/>
              </w:rPr>
              <w:t xml:space="preserve">Sí (class_weight)</w:t>
            </w:r>
          </w:p>
        </w:tc>
        <w:tc>
          <w:tcPr>
            <w:tcW w:w="1200" w:type="dxa"/>
            <w:tcMar>
              <w:top w:w="80" w:type="dxa"/>
              <w:left w:w="120" w:type="dxa"/>
              <w:bottom w:w="80" w:type="dxa"/>
              <w:right w:w="120" w:type="dxa"/>
            </w:tcMar>
          </w:tcPr>
          <w:p w14:paraId="3E1D7313" w14:textId="2D27EF43">
            <w:pPr>
              <w:spacing w:after="60"/>
              <w:jc w:val="left"/>
            </w:pPr>
            <w:r>
              <w:rPr>
                <w:sz w:val="18"/>
              </w:rPr>
              <w:t xml:space="preserve">Tolerante</w:t>
            </w:r>
          </w:p>
        </w:tc>
        <w:tc>
          <w:tcPr>
            <w:tcW w:w="1200" w:type="dxa"/>
            <w:tcMar>
              <w:top w:w="80" w:type="dxa"/>
              <w:left w:w="120" w:type="dxa"/>
              <w:bottom w:w="80" w:type="dxa"/>
              <w:right w:w="120" w:type="dxa"/>
            </w:tcMar>
          </w:tcPr>
          <w:p w14:paraId="7E6DC99A" w14:textId="3D1FF971">
            <w:pPr>
              <w:spacing w:after="60"/>
              <w:jc w:val="left"/>
            </w:pPr>
            <w:r>
              <w:rPr>
                <w:sz w:val="18"/>
              </w:rPr>
              <w:t xml:space="preserve">Bajo-medio</w:t>
            </w:r>
          </w:p>
        </w:tc>
      </w:tr>
      <w:tr>
        <w:tc>
          <w:tcPr>
            <w:tcW w:w="1900" w:type="dxa"/>
            <w:tcMar>
              <w:top w:w="80" w:type="dxa"/>
              <w:left w:w="120" w:type="dxa"/>
              <w:bottom w:w="80" w:type="dxa"/>
              <w:right w:w="120" w:type="dxa"/>
            </w:tcMar>
          </w:tcPr>
          <w:p w14:paraId="3E30ECFD" w14:textId="3BD421CB">
            <w:pPr>
              <w:spacing w:after="60"/>
              <w:jc w:val="left"/>
            </w:pPr>
            <w:r>
              <w:rPr>
                <w:sz w:val="18"/>
              </w:rPr>
              <w:t xml:space="preserve">MLP</w:t>
            </w:r>
          </w:p>
        </w:tc>
        <w:tc>
          <w:tcPr>
            <w:tcW w:w="1700" w:type="dxa"/>
            <w:tcMar>
              <w:top w:w="80" w:type="dxa"/>
              <w:left w:w="120" w:type="dxa"/>
              <w:bottom w:w="80" w:type="dxa"/>
              <w:right w:w="120" w:type="dxa"/>
            </w:tcMar>
          </w:tcPr>
          <w:p w14:paraId="3FE9B80C" w14:textId="1D63DD91">
            <w:pPr>
              <w:spacing w:after="60"/>
              <w:jc w:val="left"/>
            </w:pPr>
            <w:r>
              <w:rPr>
                <w:sz w:val="18"/>
              </w:rPr>
              <w:t xml:space="preserve">Red Neuronal</w:t>
            </w:r>
          </w:p>
        </w:tc>
        <w:tc>
          <w:tcPr>
            <w:tcW w:w="1326" w:type="dxa"/>
            <w:tcMar>
              <w:top w:w="80" w:type="dxa"/>
              <w:left w:w="120" w:type="dxa"/>
              <w:bottom w:w="80" w:type="dxa"/>
              <w:right w:w="120" w:type="dxa"/>
            </w:tcMar>
          </w:tcPr>
          <w:p w14:paraId="258E2681" w14:textId="37D001E0">
            <w:pPr>
              <w:spacing w:after="60"/>
              <w:jc w:val="left"/>
            </w:pPr>
            <w:r>
              <w:rPr>
                <w:sz w:val="18"/>
              </w:rPr>
              <w:t xml:space="preserve">Muy baja</w:t>
            </w:r>
          </w:p>
        </w:tc>
        <w:tc>
          <w:tcPr>
            <w:tcW w:w="1700" w:type="dxa"/>
            <w:tcMar>
              <w:top w:w="80" w:type="dxa"/>
              <w:left w:w="120" w:type="dxa"/>
              <w:bottom w:w="80" w:type="dxa"/>
              <w:right w:w="120" w:type="dxa"/>
            </w:tcMar>
          </w:tcPr>
          <w:p w14:paraId="33C51C87" w14:textId="6FB0E372">
            <w:pPr>
              <w:spacing w:after="60"/>
              <w:jc w:val="left"/>
            </w:pPr>
            <w:r>
              <w:rPr>
                <w:sz w:val="18"/>
              </w:rPr>
              <w:t xml:space="preserve">No (nativo)</w:t>
            </w:r>
          </w:p>
        </w:tc>
        <w:tc>
          <w:tcPr>
            <w:tcW w:w="1200" w:type="dxa"/>
            <w:tcMar>
              <w:top w:w="80" w:type="dxa"/>
              <w:left w:w="120" w:type="dxa"/>
              <w:bottom w:w="80" w:type="dxa"/>
              <w:right w:w="120" w:type="dxa"/>
            </w:tcMar>
          </w:tcPr>
          <w:p w14:paraId="6A40788A" w14:textId="54434FE7">
            <w:pPr>
              <w:spacing w:after="60"/>
              <w:jc w:val="left"/>
            </w:pPr>
            <w:r>
              <w:rPr>
                <w:sz w:val="18"/>
              </w:rPr>
              <w:t xml:space="preserve">Sensible</w:t>
            </w:r>
          </w:p>
        </w:tc>
        <w:tc>
          <w:tcPr>
            <w:tcW w:w="1200" w:type="dxa"/>
            <w:tcMar>
              <w:top w:w="80" w:type="dxa"/>
              <w:left w:w="120" w:type="dxa"/>
              <w:bottom w:w="80" w:type="dxa"/>
              <w:right w:w="120" w:type="dxa"/>
            </w:tcMar>
          </w:tcPr>
          <w:p w14:paraId="76CA5F18" w14:textId="4C385F49">
            <w:pPr>
              <w:spacing w:after="60"/>
              <w:jc w:val="left"/>
            </w:pPr>
            <w:r>
              <w:rPr>
                <w:sz w:val="18"/>
              </w:rPr>
              <w:t xml:space="preserve">Alto</w:t>
            </w:r>
          </w:p>
        </w:tc>
      </w:tr>
    </w:tbl>
    <w:p w14:paraId="2A275669" w14:textId="04FECB66" w:rsidR="2A275669" w:rsidRDefault="2A275669">
      <w:pPr>
        <w:spacing w:before="60" w:after="200"/>
      </w:pPr>
      <w:r>
        <w:rPr>
          <w:i/>
          <w:sz w:val="18"/>
        </w:rPr>
        <w:t>Fuente: Elaboración propia basada en Lessmann et al. (2015), Noriega et al. (2023) y Ayari et al. (2025).</w:t>
      </w:r>
    </w:p>
    <w:p w14:paraId="029EC670" w14:textId="71544041" w:rsidR="00B74E12" w:rsidRDefault="00B74E12">
      <w:pPr>
        <w:pStyle w:val="Ttulo3"/>
      </w:pPr>
      <w:r>
        <w:t>Regresión Logística</w:t>
      </w:r>
    </w:p>
    <w:p w14:paraId="5E1A29EB" w14:textId="0B9D847A" w:rsidR="00B74E12" w:rsidRDefault="00B74E12">
      <w:r>
        <w:t>La Regresión Logística constituye el modelo lineal de referencia para problemas de clasificación binaria y actúa habitualmente como línea de base (baseline) en las comparativas de rendimiento. Matemáticamente, el modelo aplica la función sigmoide a una combinación lineal ponderada de las features de entrada, transformando el resultado en una probabilidad de pertenencia a la clase positiva. Su principal fortaleza reside en su interpretabilidad: los coeficientes del modelo pueden traducirse directamente en relaciones entre las variables predictoras y la probabilidad de fraude, lo que facilita la auditoría del sistema por parte de equipos de cumplimiento regulatorio (Lessmann et al., 2015). Sin embargo, su incapacidad para capturar interacciones no lineales entre variables limita significativamente su rendimiento en conjuntos de datos complejos como los de detección de fraude en e-commerce, donde las relaciones entre features suelen ser altamente no lineales y los conjuntos de datos presentan decenas de variables correlacionadas.</w:t>
      </w:r>
    </w:p>
    <w:p w14:paraId="7E3BE111" w14:textId="3DD850EE" w:rsidR="00B74E12" w:rsidRDefault="00B74E12">
      <w:pPr>
        <w:pStyle w:val="Ttulo3"/>
      </w:pPr>
      <w:r>
        <w:lastRenderedPageBreak/>
        <w:t>Árbol de Decisión</w:t>
      </w:r>
    </w:p>
    <w:p w14:paraId="3B8176CC" w14:textId="74414192" w:rsidR="00B74E12" w:rsidRDefault="00B74E12">
      <w:r>
        <w:t>Los Árboles de Decisión son modelos de clasificación jerárquicos que particionan recursivamente el espacio de características mediante reglas binarias. Cada nodo interno del árbol representa una condición de decisión sobre una feature, cada rama el resultado de esa condición, y cada hoja una clase predicha o distribución de probabilidad. El algoritmo de construcción más utilizado es CART (Classification and Regression Trees), que selecciona en cada nodo la división que maximiza la reducción de impureza medida por el índice Gini o la entropía de la información. Aunque su interpretabilidad es una de sus principales fortalezas —permitiendo la extracción de reglas de decisión comprensibles para auditores y reguladores—, los Árboles de Decisión son altamente susceptibles al sobreajuste: un árbol suficientemente profundo puede memorizar el conjunto de entrenamiento con exactitud perfecta pero generaliza pobremente a datos nuevos (Tiwari et al., s.f.). Esta limitación motivó el desarrollo de los métodos de ensamble que los utilizan como estimadores base, construyendo múltiples árboles y combinando sus predicciones para reducir la varianza del modelo resultante.</w:t>
      </w:r>
    </w:p>
    <w:p w14:paraId="2E2E2E8E" w14:textId="13F37D72" w:rsidR="00B74E12" w:rsidRDefault="00B74E12">
      <w:pPr>
        <w:pStyle w:val="Ttulo3"/>
      </w:pPr>
      <w:r>
        <w:t>Random Forest</w:t>
      </w:r>
    </w:p>
    <w:p w14:paraId="3612EE05" w14:textId="74F3AE2B" w:rsidR="00B74E12" w:rsidRDefault="00B74E12">
      <w:r>
        <w:t>Random Forest es un método de ensamble propuesto por Breiman (2001) que construye múltiples Árboles de Decisión de forma independiente y paralela, combinando sus predicciones mediante votación mayoritaria. La clave de su robustez radica en dos fuentes de aleatoriedad introducidas deliberadamente durante el entrenamiento: el bagging (selección aleatoria de muestras con reemplazo para cada árbol) y la selección aleatoria de un subconjunto de features en cada nodo de decisión. Esta doble aleatorización descorela los árboles entre sí, reduciendo la varianza del modelo de ensamble sin incrementar el sesgo, lo que se traduce en una marcada resistencia al sobreajuste incluso en espacios de muy alta dimensionalidad. Random Forest ofrece además ventajas adicionales para la detección de fraude: tolera bien los valores nulos y outliers, puede estimar la importancia relativa de cada feature mediante métricas de impureza acumulada, y su parámetro class_weight='balanced' permite compensar automáticamente el desbalanceo de clases (Lessmann et al., 2015).</w:t>
      </w:r>
    </w:p>
    <w:p w14:paraId="171C3351" w14:textId="5EE1D650" w:rsidR="00B74E12" w:rsidRDefault="00B74E12">
      <w:r>
        <w:t xml:space="preserve">Desde el punto de vista computacional, Random Forest es altamente paralelizable, dado que cada árbol se entrena de forma independiente y puede distribuirse en múltiples núcleos de procesamiento. Su principal desventaja es la pérdida de interpretabilidad inherente a los </w:t>
        <w:lastRenderedPageBreak/>
        <w:t>modelos de ensamble: si bien es posible extraer la importancia de features, no resulta factible obtener reglas de decisión individuales comprensibles para humanos. En el benchmark de Lessmann et al. (2015), Random Forest fue reportado como uno de los clasificadores con mejor rendimiento sostenido a lo largo de los ocho conjuntos de datos evaluados, confirmando su posición como referencia robusta en el dominio del credit scoring y la detección de anomalías financieras.</w:t>
      </w:r>
    </w:p>
    <w:p w14:paraId="27B89061" w14:textId="22A798F8" w:rsidR="00B74E12" w:rsidRDefault="00B74E12">
      <w:pPr>
        <w:pStyle w:val="Ttulo3"/>
      </w:pPr>
      <w:r>
        <w:t>XGBoost</w:t>
      </w:r>
    </w:p>
    <w:p w14:paraId="38D574E2" w14:textId="660D66E6" w:rsidR="00B74E12" w:rsidRDefault="00B74E12">
      <w:r>
        <w:t>XGBoost (Extreme Gradient Boosting), desarrollado por Chen y Guestrin (2016), es un algoritmo de Gradient Boosting que construye secuencialmente un ensamble de árboles de decisión, donde cada nuevo árbol se entrena para corregir los errores residuales del modelo acumulado en la iteración anterior. A diferencia del Gradient Boosting clásico, XGBoost incorpora regularización L1 (Lasso) y L2 (Ridge) sobre los parámetros del árbol, una estrategia de búsqueda aproximada de divisiones mediante histogramas, y soporte nativo para el tratamiento de valores faltantes, lo que lo hace especialmente eficiente en conjuntos de datos de gran escala con alta dimensionalidad y sparsidad. Su parámetro scale_pos_weight permite compensar directamente el desbalanceo de clases ajustando el peso relativo de la clase positiva (fraude), haciéndolo particularmente apto para contextos de alta asimetría como el presente trabajo. XGBoost se ha posicionado consistentemente entre los algoritmos de mejor rendimiento en competiciones de ciencia de datos y benchmarks académicos (Noriega et al., 2023; Lessmann et al., 2015).</w:t>
      </w:r>
    </w:p>
    <w:p w14:paraId="295254FB" w14:textId="1FE2372D" w:rsidR="00B74E12" w:rsidRDefault="00B74E12">
      <w:pPr>
        <w:pStyle w:val="Ttulo3"/>
      </w:pPr>
      <w:r>
        <w:t>LightGBM</w:t>
      </w:r>
    </w:p>
    <w:p w14:paraId="11DB828A" w14:textId="0BE840A5" w:rsidR="00B74E12" w:rsidRDefault="00B74E12">
      <w:r>
        <w:rPr>
          <w:lang w:val="en-US"/>
        </w:rPr>
        <w:t xml:space="preserve">LightGBM (Light Gradient Boosting Machine), desarrollado por Ke et al. </w:t>
      </w:r>
      <w:r>
        <w:t xml:space="preserve">(2017) en Microsoft Research, es una implementación de Gradient Boosting optimizada para eficiencia computacional y bajo consumo de memoria en conjuntos de datos de gran escala. Sus dos innovaciones técnicas más distintivas son GOSS (Gradient-based One-Side Sampling), que reduce el número de instancias utilizadas en cada iteración manteniendo aquellas con mayor gradiente de pérdida, y EFB (Exclusive Feature Bundling), que agrupa features mutuamente exclusivas para reducir la dimensionalidad efectiva. La estrategia de crecimiento leaf-wise (en lugar del level-wise de XGBoost) permite alcanzar menores valores de pérdida con el mismo número de hojas, a costa de una mayor sensibilidad al sobreajuste en conjuntos de datos pequeños. Ayari et al. (2025) identificaron a LightGBM como el algoritmo de mayor adopción en </w:t>
        <w:lastRenderedPageBreak/>
        <w:t>la literatura reciente sobre credit scoring y detección de fraude, consolidándolo como el estado del arte para datos tabulares de alta dimensionalidad, resultado que es coherente con los hallazgos del presente trabajo.</w:t>
      </w:r>
    </w:p>
    <w:p w14:paraId="04166568" w14:textId="0F5C930F" w:rsidR="00B74E12" w:rsidRDefault="00B74E12">
      <w:pPr>
        <w:pStyle w:val="Ttulo3"/>
      </w:pPr>
      <w:r>
        <w:t>Perceptrón Multicapa (MLP)</w:t>
      </w:r>
    </w:p>
    <w:p w14:paraId="533C9A94" w14:textId="27A37F3F" w:rsidR="00B74E12" w:rsidRDefault="00B74E12">
      <w:r>
        <w:t>Las Redes Neuronales Artificiales de tipo Perceptrón Multicapa (Multilayer Perceptron, MLP) constituyen la arquitectura de red neuronal más fundamental para datos tabulares. Un MLP se compone de una capa de entrada, una o más capas ocultas de neuronas con funciones de activación no lineales —siendo ReLU (Rectified Linear Unit) la más utilizada en la práctica moderna—, y una capa de salida con activación sigmoide que produce la probabilidad de fraude. El entrenamiento se realiza mediante retropropagación del gradiente (backpropagation) con algoritmos de optimización como Adam o SGD, ajustando iterativamente los pesos de la red para minimizar la función de pérdida sobre el conjunto de entrenamiento. En contextos de alto desbalanceo de clases, el MLP es particularmente susceptible al colapso hacia la clase mayoritaria, ya que al minimizar la pérdida global, el modelo puede obtener valores bajos prediciendo siempre la clase legítima. Qureshi et al. (s.f.) demostraron que las arquitecturas de redes neuronales más profundas —especialmente las recurrentes (LSTM)— superan a los MLP en tareas de detección de fraude que explotan la dimensión temporal de las transacciones, si bien para datos tabulares sin estructura secuencial los modelos de ensamble basados en árboles mantienen una ventaja empírica consistente.</w:t>
      </w:r>
    </w:p>
    <w:p w14:paraId="713AF881" w14:textId="1D944880" w:rsidR="00B74E12" w:rsidRDefault="00B74E12">
      <w:pPr>
        <w:pStyle w:val="Ttulo3"/>
      </w:pPr>
      <w:r>
        <w:t>Optimización de hiperparámetros</w:t>
      </w:r>
    </w:p>
    <w:p w14:paraId="566FDC0A" w14:textId="0754D0DD" w:rsidR="00B74E12" w:rsidRDefault="00B74E12">
      <w:r>
        <w:t xml:space="preserve">Los hiperparámetros son los parámetros de configuración de un algoritmo que no se aprenden directamente de los datos durante el entrenamiento, sino que deben ser especificados a priori por el investigador. La selección adecuada de estos parámetros —tales como el número de estimadores, la profundidad máxima de los árboles, la tasa de aprendizaje o la regularización— puede determinar diferencias sustanciales en el rendimiento del modelo, especialmente en conjuntos de datos complejos y de alta dimensionalidad (Lessmann et al., 2015). La búsqueda exhaustiva de hiperparámetros mediante Grid Search resulta computacionalmente inviable cuando el espacio de búsqueda es grande, lo que ha llevado a la adopción generalizada de la Búsqueda Aleatoria (RandomizedSearchCV), que explora un número fijo de combinaciones seleccionadas aleatoriamente del espacio de hiperparámetros. Cuando se combina con </w:t>
        <w:lastRenderedPageBreak/>
        <w:t>validación cruzada estratificada —que preserva la distribución de clases en cada fold de validación—, RandomizedSearchCV ofrece un balance eficiente entre capacidad exploratoria y coste computacional. En el presente trabajo, se utilizó RandomizedSearchCV con StratifiedKFold (k = 3) sobre una submuestra estratificada del 30 % del conjunto de entrenamiento para los tres modelos de ensamble, refitando posteriormente cada modelo con los mejores hiperparámetros encontrados sobre el conjunto de entrenamiento completo.</w:t>
      </w:r>
    </w:p>
    <w:p w14:paraId="254D6F94" w14:textId="5D4B4480" w:rsidR="254D6F94" w:rsidRDefault="254D6F94">
      <w:pPr>
        <w:spacing w:before="200" w:after="60"/>
      </w:pPr>
      <w:r>
        <w:rPr>
          <w:b/>
          <w:sz w:val="20"/>
        </w:rPr>
        <w:t xml:space="preserve">Tabla 3. Espacio de hiperparámetros explorado con RandomizedSearchCV (15 iteraciones, k = 3)</w:t>
      </w:r>
    </w:p>
    <w:tbl>
      <w:tblPr>
        <w:tblW w:w="9026"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2000"/>
        <w:gridCol w:w="2500"/>
        <w:gridCol w:w="4526"/>
      </w:tblGrid>
      <w:tr>
        <w:trPr>
          <w:tblHeader/>
        </w:trPr>
        <w:tc>
          <w:tcPr>
            <w:tcW w:w="2000" w:type="dxa"/>
            <w:shading w:val="clear" w:color="auto" w:fill="D6E4F0"/>
            <w:tcMar>
              <w:top w:w="80" w:type="dxa"/>
              <w:left w:w="120" w:type="dxa"/>
              <w:bottom w:w="80" w:type="dxa"/>
              <w:right w:w="120" w:type="dxa"/>
            </w:tcMar>
          </w:tcPr>
          <w:p w14:paraId="407595A5" w14:textId="23C08544">
            <w:pPr>
              <w:spacing w:after="60"/>
              <w:jc w:val="center"/>
            </w:pPr>
            <w:r>
              <w:rPr>
                <w:b/>
                <w:sz w:val="18"/>
              </w:rPr>
              <w:t xml:space="preserve">Modelo</w:t>
            </w:r>
          </w:p>
        </w:tc>
        <w:tc>
          <w:tcPr>
            <w:tcW w:w="2500" w:type="dxa"/>
            <w:shading w:val="clear" w:color="auto" w:fill="D6E4F0"/>
            <w:tcMar>
              <w:top w:w="80" w:type="dxa"/>
              <w:left w:w="120" w:type="dxa"/>
              <w:bottom w:w="80" w:type="dxa"/>
              <w:right w:w="120" w:type="dxa"/>
            </w:tcMar>
          </w:tcPr>
          <w:p w14:paraId="43888E9A" w14:textId="77CEAA97">
            <w:pPr>
              <w:spacing w:after="60"/>
              <w:jc w:val="center"/>
            </w:pPr>
            <w:r>
              <w:rPr>
                <w:b/>
                <w:sz w:val="18"/>
              </w:rPr>
              <w:t xml:space="preserve">Hiperparámetro</w:t>
            </w:r>
          </w:p>
        </w:tc>
        <w:tc>
          <w:tcPr>
            <w:tcW w:w="4526" w:type="dxa"/>
            <w:shading w:val="clear" w:color="auto" w:fill="D6E4F0"/>
            <w:tcMar>
              <w:top w:w="80" w:type="dxa"/>
              <w:left w:w="120" w:type="dxa"/>
              <w:bottom w:w="80" w:type="dxa"/>
              <w:right w:w="120" w:type="dxa"/>
            </w:tcMar>
          </w:tcPr>
          <w:p w14:paraId="4AED9E29" w14:textId="2BAD14DE">
            <w:pPr>
              <w:spacing w:after="60"/>
              <w:jc w:val="center"/>
            </w:pPr>
            <w:r>
              <w:rPr>
                <w:b/>
                <w:sz w:val="18"/>
              </w:rPr>
              <w:t xml:space="preserve">Rango / Valores explorados</w:t>
            </w:r>
          </w:p>
        </w:tc>
      </w:tr>
      <w:tr>
        <w:tc>
          <w:tcPr>
            <w:tcW w:w="2000" w:type="dxa"/>
            <w:tcMar>
              <w:top w:w="80" w:type="dxa"/>
              <w:left w:w="120" w:type="dxa"/>
              <w:bottom w:w="80" w:type="dxa"/>
              <w:right w:w="120" w:type="dxa"/>
            </w:tcMar>
          </w:tcPr>
          <w:p w14:paraId="1F7F3236" w14:textId="7F1F8438">
            <w:pPr>
              <w:spacing w:after="60"/>
              <w:jc w:val="left"/>
            </w:pPr>
            <w:r>
              <w:rPr>
                <w:sz w:val="18"/>
              </w:rPr>
              <w:t xml:space="preserve">Random Forest</w:t>
            </w:r>
          </w:p>
        </w:tc>
        <w:tc>
          <w:tcPr>
            <w:tcW w:w="2500" w:type="dxa"/>
            <w:tcMar>
              <w:top w:w="80" w:type="dxa"/>
              <w:left w:w="120" w:type="dxa"/>
              <w:bottom w:w="80" w:type="dxa"/>
              <w:right w:w="120" w:type="dxa"/>
            </w:tcMar>
          </w:tcPr>
          <w:p w14:paraId="3C0CDB1E" w14:textId="5C8929DD">
            <w:pPr>
              <w:spacing w:after="60"/>
              <w:jc w:val="left"/>
            </w:pPr>
            <w:r>
              <w:rPr>
                <w:sz w:val="18"/>
              </w:rPr>
              <w:t xml:space="preserve">n_estimators</w:t>
            </w:r>
          </w:p>
        </w:tc>
        <w:tc>
          <w:tcPr>
            <w:tcW w:w="4526" w:type="dxa"/>
            <w:tcMar>
              <w:top w:w="80" w:type="dxa"/>
              <w:left w:w="120" w:type="dxa"/>
              <w:bottom w:w="80" w:type="dxa"/>
              <w:right w:w="120" w:type="dxa"/>
            </w:tcMar>
          </w:tcPr>
          <w:p w14:paraId="54690DD2" w14:textId="4221AFD7">
            <w:pPr>
              <w:spacing w:after="60"/>
              <w:jc w:val="left"/>
            </w:pPr>
            <w:r>
              <w:rPr>
                <w:sz w:val="18"/>
              </w:rPr>
              <w:t xml:space="preserve">Uniforme entera [200, 600)</w:t>
            </w:r>
          </w:p>
        </w:tc>
      </w:tr>
      <w:tr>
        <w:tc>
          <w:tcPr>
            <w:tcW w:w="2000" w:type="dxa"/>
            <w:tcMar>
              <w:top w:w="80" w:type="dxa"/>
              <w:left w:w="120" w:type="dxa"/>
              <w:bottom w:w="80" w:type="dxa"/>
              <w:right w:w="120" w:type="dxa"/>
            </w:tcMar>
          </w:tcPr>
          <w:p w14:paraId="76D0CC3A" w14:textId="785F9CCD">
            <w:pPr>
              <w:spacing w:after="60"/>
              <w:jc w:val="left"/>
            </w:pPr>
            <w:r>
              <w:rPr>
                <w:sz w:val="18"/>
              </w:rPr>
              <w:t xml:space="preserve">Random Forest</w:t>
            </w:r>
          </w:p>
        </w:tc>
        <w:tc>
          <w:tcPr>
            <w:tcW w:w="2500" w:type="dxa"/>
            <w:tcMar>
              <w:top w:w="80" w:type="dxa"/>
              <w:left w:w="120" w:type="dxa"/>
              <w:bottom w:w="80" w:type="dxa"/>
              <w:right w:w="120" w:type="dxa"/>
            </w:tcMar>
          </w:tcPr>
          <w:p w14:paraId="372A644C" w14:textId="2B6226F7">
            <w:pPr>
              <w:spacing w:after="60"/>
              <w:jc w:val="left"/>
            </w:pPr>
            <w:r>
              <w:rPr>
                <w:sz w:val="18"/>
              </w:rPr>
              <w:t xml:space="preserve">max_depth</w:t>
            </w:r>
          </w:p>
        </w:tc>
        <w:tc>
          <w:tcPr>
            <w:tcW w:w="4526" w:type="dxa"/>
            <w:tcMar>
              <w:top w:w="80" w:type="dxa"/>
              <w:left w:w="120" w:type="dxa"/>
              <w:bottom w:w="80" w:type="dxa"/>
              <w:right w:w="120" w:type="dxa"/>
            </w:tcMar>
          </w:tcPr>
          <w:p w14:paraId="49543024" w14:textId="281A48CC">
            <w:pPr>
              <w:spacing w:after="60"/>
              <w:jc w:val="left"/>
            </w:pPr>
            <w:r>
              <w:rPr>
                <w:sz w:val="18"/>
              </w:rPr>
              <w:t xml:space="preserve">{None, 10, 20, 30}</w:t>
            </w:r>
          </w:p>
        </w:tc>
      </w:tr>
      <w:tr>
        <w:tc>
          <w:tcPr>
            <w:tcW w:w="2000" w:type="dxa"/>
            <w:tcMar>
              <w:top w:w="80" w:type="dxa"/>
              <w:left w:w="120" w:type="dxa"/>
              <w:bottom w:w="80" w:type="dxa"/>
              <w:right w:w="120" w:type="dxa"/>
            </w:tcMar>
          </w:tcPr>
          <w:p w14:paraId="70BA3546" w14:textId="1229246E">
            <w:pPr>
              <w:spacing w:after="60"/>
              <w:jc w:val="left"/>
            </w:pPr>
            <w:r>
              <w:rPr>
                <w:sz w:val="18"/>
              </w:rPr>
              <w:t xml:space="preserve">Random Forest</w:t>
            </w:r>
          </w:p>
        </w:tc>
        <w:tc>
          <w:tcPr>
            <w:tcW w:w="2500" w:type="dxa"/>
            <w:tcMar>
              <w:top w:w="80" w:type="dxa"/>
              <w:left w:w="120" w:type="dxa"/>
              <w:bottom w:w="80" w:type="dxa"/>
              <w:right w:w="120" w:type="dxa"/>
            </w:tcMar>
          </w:tcPr>
          <w:p w14:paraId="5FDA0849" w14:textId="7CAABA73">
            <w:pPr>
              <w:spacing w:after="60"/>
              <w:jc w:val="left"/>
            </w:pPr>
            <w:r>
              <w:rPr>
                <w:sz w:val="18"/>
              </w:rPr>
              <w:t xml:space="preserve">min_samples_split</w:t>
            </w:r>
          </w:p>
        </w:tc>
        <w:tc>
          <w:tcPr>
            <w:tcW w:w="4526" w:type="dxa"/>
            <w:tcMar>
              <w:top w:w="80" w:type="dxa"/>
              <w:left w:w="120" w:type="dxa"/>
              <w:bottom w:w="80" w:type="dxa"/>
              <w:right w:w="120" w:type="dxa"/>
            </w:tcMar>
          </w:tcPr>
          <w:p w14:paraId="7F49EACC" w14:textId="3579E51A">
            <w:pPr>
              <w:spacing w:after="60"/>
              <w:jc w:val="left"/>
            </w:pPr>
            <w:r>
              <w:rPr>
                <w:sz w:val="18"/>
              </w:rPr>
              <w:t xml:space="preserve">Uniforme entera [2, 15)</w:t>
            </w:r>
          </w:p>
        </w:tc>
      </w:tr>
      <w:tr>
        <w:tc>
          <w:tcPr>
            <w:tcW w:w="2000" w:type="dxa"/>
            <w:tcMar>
              <w:top w:w="80" w:type="dxa"/>
              <w:left w:w="120" w:type="dxa"/>
              <w:bottom w:w="80" w:type="dxa"/>
              <w:right w:w="120" w:type="dxa"/>
            </w:tcMar>
          </w:tcPr>
          <w:p w14:paraId="412942B8" w14:textId="7EBE56A4">
            <w:pPr>
              <w:spacing w:after="60"/>
              <w:jc w:val="left"/>
            </w:pPr>
            <w:r>
              <w:rPr>
                <w:sz w:val="18"/>
              </w:rPr>
              <w:t xml:space="preserve">Random Forest</w:t>
            </w:r>
          </w:p>
        </w:tc>
        <w:tc>
          <w:tcPr>
            <w:tcW w:w="2500" w:type="dxa"/>
            <w:tcMar>
              <w:top w:w="80" w:type="dxa"/>
              <w:left w:w="120" w:type="dxa"/>
              <w:bottom w:w="80" w:type="dxa"/>
              <w:right w:w="120" w:type="dxa"/>
            </w:tcMar>
          </w:tcPr>
          <w:p w14:paraId="29083299" w14:textId="54534648">
            <w:pPr>
              <w:spacing w:after="60"/>
              <w:jc w:val="left"/>
            </w:pPr>
            <w:r>
              <w:rPr>
                <w:sz w:val="18"/>
              </w:rPr>
              <w:t xml:space="preserve">max_features</w:t>
            </w:r>
          </w:p>
        </w:tc>
        <w:tc>
          <w:tcPr>
            <w:tcW w:w="4526" w:type="dxa"/>
            <w:tcMar>
              <w:top w:w="80" w:type="dxa"/>
              <w:left w:w="120" w:type="dxa"/>
              <w:bottom w:w="80" w:type="dxa"/>
              <w:right w:w="120" w:type="dxa"/>
            </w:tcMar>
          </w:tcPr>
          <w:p w14:paraId="2998813D" w14:textId="237088C9">
            <w:pPr>
              <w:spacing w:after="60"/>
              <w:jc w:val="left"/>
            </w:pPr>
            <w:r>
              <w:rPr>
                <w:sz w:val="18"/>
              </w:rPr>
              <w:t xml:space="preserve">{'sqrt', 'log2', 0.2, 0.3}</w:t>
            </w:r>
          </w:p>
        </w:tc>
      </w:tr>
      <w:tr>
        <w:tc>
          <w:tcPr>
            <w:tcW w:w="2000" w:type="dxa"/>
            <w:tcMar>
              <w:top w:w="80" w:type="dxa"/>
              <w:left w:w="120" w:type="dxa"/>
              <w:bottom w:w="80" w:type="dxa"/>
              <w:right w:w="120" w:type="dxa"/>
            </w:tcMar>
          </w:tcPr>
          <w:p w14:paraId="6DB54C14" w14:textId="291A65B2">
            <w:pPr>
              <w:spacing w:after="60"/>
              <w:jc w:val="left"/>
            </w:pPr>
            <w:r>
              <w:rPr>
                <w:sz w:val="18"/>
              </w:rPr>
              <w:t xml:space="preserve">XGBoost</w:t>
            </w:r>
          </w:p>
        </w:tc>
        <w:tc>
          <w:tcPr>
            <w:tcW w:w="2500" w:type="dxa"/>
            <w:tcMar>
              <w:top w:w="80" w:type="dxa"/>
              <w:left w:w="120" w:type="dxa"/>
              <w:bottom w:w="80" w:type="dxa"/>
              <w:right w:w="120" w:type="dxa"/>
            </w:tcMar>
          </w:tcPr>
          <w:p w14:paraId="7E84C30C" w14:textId="3330CFE2">
            <w:pPr>
              <w:spacing w:after="60"/>
              <w:jc w:val="left"/>
            </w:pPr>
            <w:r>
              <w:rPr>
                <w:sz w:val="18"/>
              </w:rPr>
              <w:t xml:space="preserve">n_estimators</w:t>
            </w:r>
          </w:p>
        </w:tc>
        <w:tc>
          <w:tcPr>
            <w:tcW w:w="4526" w:type="dxa"/>
            <w:tcMar>
              <w:top w:w="80" w:type="dxa"/>
              <w:left w:w="120" w:type="dxa"/>
              <w:bottom w:w="80" w:type="dxa"/>
              <w:right w:w="120" w:type="dxa"/>
            </w:tcMar>
          </w:tcPr>
          <w:p w14:paraId="60F777DB" w14:textId="1459F67D">
            <w:pPr>
              <w:spacing w:after="60"/>
              <w:jc w:val="left"/>
            </w:pPr>
            <w:r>
              <w:rPr>
                <w:sz w:val="18"/>
              </w:rPr>
              <w:t xml:space="preserve">Uniforme entera [100, 500)</w:t>
            </w:r>
          </w:p>
        </w:tc>
      </w:tr>
      <w:tr>
        <w:tc>
          <w:tcPr>
            <w:tcW w:w="2000" w:type="dxa"/>
            <w:tcMar>
              <w:top w:w="80" w:type="dxa"/>
              <w:left w:w="120" w:type="dxa"/>
              <w:bottom w:w="80" w:type="dxa"/>
              <w:right w:w="120" w:type="dxa"/>
            </w:tcMar>
          </w:tcPr>
          <w:p w14:paraId="5C58F8F3" w14:textId="47AF9FD7">
            <w:pPr>
              <w:spacing w:after="60"/>
              <w:jc w:val="left"/>
            </w:pPr>
            <w:r>
              <w:rPr>
                <w:sz w:val="18"/>
              </w:rPr>
              <w:t xml:space="preserve">XGBoost</w:t>
            </w:r>
          </w:p>
        </w:tc>
        <w:tc>
          <w:tcPr>
            <w:tcW w:w="2500" w:type="dxa"/>
            <w:tcMar>
              <w:top w:w="80" w:type="dxa"/>
              <w:left w:w="120" w:type="dxa"/>
              <w:bottom w:w="80" w:type="dxa"/>
              <w:right w:w="120" w:type="dxa"/>
            </w:tcMar>
          </w:tcPr>
          <w:p w14:paraId="6232BDB2" w14:textId="117C6B86">
            <w:pPr>
              <w:spacing w:after="60"/>
              <w:jc w:val="left"/>
            </w:pPr>
            <w:r>
              <w:rPr>
                <w:sz w:val="18"/>
              </w:rPr>
              <w:t xml:space="preserve">max_depth</w:t>
            </w:r>
          </w:p>
        </w:tc>
        <w:tc>
          <w:tcPr>
            <w:tcW w:w="4526" w:type="dxa"/>
            <w:tcMar>
              <w:top w:w="80" w:type="dxa"/>
              <w:left w:w="120" w:type="dxa"/>
              <w:bottom w:w="80" w:type="dxa"/>
              <w:right w:w="120" w:type="dxa"/>
            </w:tcMar>
          </w:tcPr>
          <w:p w14:paraId="4B0E849D" w14:textId="65763890">
            <w:pPr>
              <w:spacing w:after="60"/>
              <w:jc w:val="left"/>
            </w:pPr>
            <w:r>
              <w:rPr>
                <w:sz w:val="18"/>
              </w:rPr>
              <w:t xml:space="preserve">Uniforme entera [3, 9)</w:t>
            </w:r>
          </w:p>
        </w:tc>
      </w:tr>
      <w:tr>
        <w:tc>
          <w:tcPr>
            <w:tcW w:w="2000" w:type="dxa"/>
            <w:tcMar>
              <w:top w:w="80" w:type="dxa"/>
              <w:left w:w="120" w:type="dxa"/>
              <w:bottom w:w="80" w:type="dxa"/>
              <w:right w:w="120" w:type="dxa"/>
            </w:tcMar>
          </w:tcPr>
          <w:p w14:paraId="61225309" w14:textId="6F25DABB">
            <w:pPr>
              <w:spacing w:after="60"/>
              <w:jc w:val="left"/>
            </w:pPr>
            <w:r>
              <w:rPr>
                <w:sz w:val="18"/>
              </w:rPr>
              <w:t xml:space="preserve">XGBoost</w:t>
            </w:r>
          </w:p>
        </w:tc>
        <w:tc>
          <w:tcPr>
            <w:tcW w:w="2500" w:type="dxa"/>
            <w:tcMar>
              <w:top w:w="80" w:type="dxa"/>
              <w:left w:w="120" w:type="dxa"/>
              <w:bottom w:w="80" w:type="dxa"/>
              <w:right w:w="120" w:type="dxa"/>
            </w:tcMar>
          </w:tcPr>
          <w:p w14:paraId="64A9C4C8" w14:textId="1834B8FA">
            <w:pPr>
              <w:spacing w:after="60"/>
              <w:jc w:val="left"/>
            </w:pPr>
            <w:r>
              <w:rPr>
                <w:sz w:val="18"/>
              </w:rPr>
              <w:t xml:space="preserve">learning_rate</w:t>
            </w:r>
          </w:p>
        </w:tc>
        <w:tc>
          <w:tcPr>
            <w:tcW w:w="4526" w:type="dxa"/>
            <w:tcMar>
              <w:top w:w="80" w:type="dxa"/>
              <w:left w:w="120" w:type="dxa"/>
              <w:bottom w:w="80" w:type="dxa"/>
              <w:right w:w="120" w:type="dxa"/>
            </w:tcMar>
          </w:tcPr>
          <w:p w14:paraId="65E830FA" w14:textId="38732A01">
            <w:pPr>
              <w:spacing w:after="60"/>
              <w:jc w:val="left"/>
            </w:pPr>
            <w:r>
              <w:rPr>
                <w:sz w:val="18"/>
              </w:rPr>
              <w:t xml:space="preserve">Uniforme real [0.01, 0.30)</w:t>
            </w:r>
          </w:p>
        </w:tc>
      </w:tr>
      <w:tr>
        <w:tc>
          <w:tcPr>
            <w:tcW w:w="2000" w:type="dxa"/>
            <w:tcMar>
              <w:top w:w="80" w:type="dxa"/>
              <w:left w:w="120" w:type="dxa"/>
              <w:bottom w:w="80" w:type="dxa"/>
              <w:right w:w="120" w:type="dxa"/>
            </w:tcMar>
          </w:tcPr>
          <w:p w14:paraId="785D51C5" w14:textId="1745331C">
            <w:pPr>
              <w:spacing w:after="60"/>
              <w:jc w:val="left"/>
            </w:pPr>
            <w:r>
              <w:rPr>
                <w:sz w:val="18"/>
              </w:rPr>
              <w:t xml:space="preserve">XGBoost</w:t>
            </w:r>
          </w:p>
        </w:tc>
        <w:tc>
          <w:tcPr>
            <w:tcW w:w="2500" w:type="dxa"/>
            <w:tcMar>
              <w:top w:w="80" w:type="dxa"/>
              <w:left w:w="120" w:type="dxa"/>
              <w:bottom w:w="80" w:type="dxa"/>
              <w:right w:w="120" w:type="dxa"/>
            </w:tcMar>
          </w:tcPr>
          <w:p w14:paraId="380B56E5" w14:textId="7A72AD1E">
            <w:pPr>
              <w:spacing w:after="60"/>
              <w:jc w:val="left"/>
            </w:pPr>
            <w:r>
              <w:rPr>
                <w:sz w:val="18"/>
              </w:rPr>
              <w:t xml:space="preserve">subsample</w:t>
            </w:r>
          </w:p>
        </w:tc>
        <w:tc>
          <w:tcPr>
            <w:tcW w:w="4526" w:type="dxa"/>
            <w:tcMar>
              <w:top w:w="80" w:type="dxa"/>
              <w:left w:w="120" w:type="dxa"/>
              <w:bottom w:w="80" w:type="dxa"/>
              <w:right w:w="120" w:type="dxa"/>
            </w:tcMar>
          </w:tcPr>
          <w:p w14:paraId="1D7928F3" w14:textId="6D1D9851">
            <w:pPr>
              <w:spacing w:after="60"/>
              <w:jc w:val="left"/>
            </w:pPr>
            <w:r>
              <w:rPr>
                <w:sz w:val="18"/>
              </w:rPr>
              <w:t xml:space="preserve">Uniforme real [0.60, 1.00)</w:t>
            </w:r>
          </w:p>
        </w:tc>
      </w:tr>
      <w:tr>
        <w:tc>
          <w:tcPr>
            <w:tcW w:w="2000" w:type="dxa"/>
            <w:tcMar>
              <w:top w:w="80" w:type="dxa"/>
              <w:left w:w="120" w:type="dxa"/>
              <w:bottom w:w="80" w:type="dxa"/>
              <w:right w:w="120" w:type="dxa"/>
            </w:tcMar>
          </w:tcPr>
          <w:p w14:paraId="5FFAB8E6" w14:textId="29292C97">
            <w:pPr>
              <w:spacing w:after="60"/>
              <w:jc w:val="left"/>
            </w:pPr>
            <w:r>
              <w:rPr>
                <w:sz w:val="18"/>
              </w:rPr>
              <w:t xml:space="preserve">XGBoost</w:t>
            </w:r>
          </w:p>
        </w:tc>
        <w:tc>
          <w:tcPr>
            <w:tcW w:w="2500" w:type="dxa"/>
            <w:tcMar>
              <w:top w:w="80" w:type="dxa"/>
              <w:left w:w="120" w:type="dxa"/>
              <w:bottom w:w="80" w:type="dxa"/>
              <w:right w:w="120" w:type="dxa"/>
            </w:tcMar>
          </w:tcPr>
          <w:p w14:paraId="40C148E8" w14:textId="36390BC1">
            <w:pPr>
              <w:spacing w:after="60"/>
              <w:jc w:val="left"/>
            </w:pPr>
            <w:r>
              <w:rPr>
                <w:sz w:val="18"/>
              </w:rPr>
              <w:t xml:space="preserve">reg_alpha / reg_lambda</w:t>
            </w:r>
          </w:p>
        </w:tc>
        <w:tc>
          <w:tcPr>
            <w:tcW w:w="4526" w:type="dxa"/>
            <w:tcMar>
              <w:top w:w="80" w:type="dxa"/>
              <w:left w:w="120" w:type="dxa"/>
              <w:bottom w:w="80" w:type="dxa"/>
              <w:right w:w="120" w:type="dxa"/>
            </w:tcMar>
          </w:tcPr>
          <w:p w14:paraId="38F0869C" w14:textId="4F0645B6">
            <w:pPr>
              <w:spacing w:after="60"/>
              <w:jc w:val="left"/>
            </w:pPr>
            <w:r>
              <w:rPr>
                <w:sz w:val="18"/>
              </w:rPr>
              <w:t xml:space="preserve">Uniforme real [0.0, 0.5) / [0.5, 2.0)</w:t>
            </w:r>
          </w:p>
        </w:tc>
      </w:tr>
      <w:tr>
        <w:tc>
          <w:tcPr>
            <w:tcW w:w="2000" w:type="dxa"/>
            <w:tcMar>
              <w:top w:w="80" w:type="dxa"/>
              <w:left w:w="120" w:type="dxa"/>
              <w:bottom w:w="80" w:type="dxa"/>
              <w:right w:w="120" w:type="dxa"/>
            </w:tcMar>
          </w:tcPr>
          <w:p w14:paraId="6130453B" w14:textId="32B9FF8C">
            <w:pPr>
              <w:spacing w:after="60"/>
              <w:jc w:val="left"/>
            </w:pPr>
            <w:r>
              <w:rPr>
                <w:sz w:val="18"/>
              </w:rPr>
              <w:t xml:space="preserve">LightGBM</w:t>
            </w:r>
          </w:p>
        </w:tc>
        <w:tc>
          <w:tcPr>
            <w:tcW w:w="2500" w:type="dxa"/>
            <w:tcMar>
              <w:top w:w="80" w:type="dxa"/>
              <w:left w:w="120" w:type="dxa"/>
              <w:bottom w:w="80" w:type="dxa"/>
              <w:right w:w="120" w:type="dxa"/>
            </w:tcMar>
          </w:tcPr>
          <w:p w14:paraId="59E9350C" w14:textId="21220BFC">
            <w:pPr>
              <w:spacing w:after="60"/>
              <w:jc w:val="left"/>
            </w:pPr>
            <w:r>
              <w:rPr>
                <w:sz w:val="18"/>
              </w:rPr>
              <w:t xml:space="preserve">n_estimators</w:t>
            </w:r>
          </w:p>
        </w:tc>
        <w:tc>
          <w:tcPr>
            <w:tcW w:w="4526" w:type="dxa"/>
            <w:tcMar>
              <w:top w:w="80" w:type="dxa"/>
              <w:left w:w="120" w:type="dxa"/>
              <w:bottom w:w="80" w:type="dxa"/>
              <w:right w:w="120" w:type="dxa"/>
            </w:tcMar>
          </w:tcPr>
          <w:p w14:paraId="1F1FC6A7" w14:textId="51727B69">
            <w:pPr>
              <w:spacing w:after="60"/>
              <w:jc w:val="left"/>
            </w:pPr>
            <w:r>
              <w:rPr>
                <w:sz w:val="18"/>
              </w:rPr>
              <w:t xml:space="preserve">Uniforme entera [100, 500)</w:t>
            </w:r>
          </w:p>
        </w:tc>
      </w:tr>
      <w:tr>
        <w:tc>
          <w:tcPr>
            <w:tcW w:w="2000" w:type="dxa"/>
            <w:tcMar>
              <w:top w:w="80" w:type="dxa"/>
              <w:left w:w="120" w:type="dxa"/>
              <w:bottom w:w="80" w:type="dxa"/>
              <w:right w:w="120" w:type="dxa"/>
            </w:tcMar>
          </w:tcPr>
          <w:p w14:paraId="5F5D84B3" w14:textId="1F6C9BB8">
            <w:pPr>
              <w:spacing w:after="60"/>
              <w:jc w:val="left"/>
            </w:pPr>
            <w:r>
              <w:rPr>
                <w:sz w:val="18"/>
              </w:rPr>
              <w:t xml:space="preserve">LightGBM</w:t>
            </w:r>
          </w:p>
        </w:tc>
        <w:tc>
          <w:tcPr>
            <w:tcW w:w="2500" w:type="dxa"/>
            <w:tcMar>
              <w:top w:w="80" w:type="dxa"/>
              <w:left w:w="120" w:type="dxa"/>
              <w:bottom w:w="80" w:type="dxa"/>
              <w:right w:w="120" w:type="dxa"/>
            </w:tcMar>
          </w:tcPr>
          <w:p w14:paraId="5442E3AB" w14:textId="7F2C0780">
            <w:pPr>
              <w:spacing w:after="60"/>
              <w:jc w:val="left"/>
            </w:pPr>
            <w:r>
              <w:rPr>
                <w:sz w:val="18"/>
              </w:rPr>
              <w:t xml:space="preserve">num_leaves</w:t>
            </w:r>
          </w:p>
        </w:tc>
        <w:tc>
          <w:tcPr>
            <w:tcW w:w="4526" w:type="dxa"/>
            <w:tcMar>
              <w:top w:w="80" w:type="dxa"/>
              <w:left w:w="120" w:type="dxa"/>
              <w:bottom w:w="80" w:type="dxa"/>
              <w:right w:w="120" w:type="dxa"/>
            </w:tcMar>
          </w:tcPr>
          <w:p w14:paraId="44D89790" w14:textId="5970FFEF">
            <w:pPr>
              <w:spacing w:after="60"/>
              <w:jc w:val="left"/>
            </w:pPr>
            <w:r>
              <w:rPr>
                <w:sz w:val="18"/>
              </w:rPr>
              <w:t xml:space="preserve">Uniforme entera [31, 150)</w:t>
            </w:r>
          </w:p>
        </w:tc>
      </w:tr>
      <w:tr>
        <w:tc>
          <w:tcPr>
            <w:tcW w:w="2000" w:type="dxa"/>
            <w:tcMar>
              <w:top w:w="80" w:type="dxa"/>
              <w:left w:w="120" w:type="dxa"/>
              <w:bottom w:w="80" w:type="dxa"/>
              <w:right w:w="120" w:type="dxa"/>
            </w:tcMar>
          </w:tcPr>
          <w:p w14:paraId="2BC2F89B" w14:textId="6D77FCEB">
            <w:pPr>
              <w:spacing w:after="60"/>
              <w:jc w:val="left"/>
            </w:pPr>
            <w:r>
              <w:rPr>
                <w:sz w:val="18"/>
              </w:rPr>
              <w:t xml:space="preserve">LightGBM</w:t>
            </w:r>
          </w:p>
        </w:tc>
        <w:tc>
          <w:tcPr>
            <w:tcW w:w="2500" w:type="dxa"/>
            <w:tcMar>
              <w:top w:w="80" w:type="dxa"/>
              <w:left w:w="120" w:type="dxa"/>
              <w:bottom w:w="80" w:type="dxa"/>
              <w:right w:w="120" w:type="dxa"/>
            </w:tcMar>
          </w:tcPr>
          <w:p w14:paraId="36284387" w14:textId="5EA30A4B">
            <w:pPr>
              <w:spacing w:after="60"/>
              <w:jc w:val="left"/>
            </w:pPr>
            <w:r>
              <w:rPr>
                <w:sz w:val="18"/>
              </w:rPr>
              <w:t xml:space="preserve">learning_rate</w:t>
            </w:r>
          </w:p>
        </w:tc>
        <w:tc>
          <w:tcPr>
            <w:tcW w:w="4526" w:type="dxa"/>
            <w:tcMar>
              <w:top w:w="80" w:type="dxa"/>
              <w:left w:w="120" w:type="dxa"/>
              <w:bottom w:w="80" w:type="dxa"/>
              <w:right w:w="120" w:type="dxa"/>
            </w:tcMar>
          </w:tcPr>
          <w:p w14:paraId="25C9777A" w14:textId="6D272078">
            <w:pPr>
              <w:spacing w:after="60"/>
              <w:jc w:val="left"/>
            </w:pPr>
            <w:r>
              <w:rPr>
                <w:sz w:val="18"/>
              </w:rPr>
              <w:t xml:space="preserve">Uniforme real [0.01, 0.30)</w:t>
            </w:r>
          </w:p>
        </w:tc>
      </w:tr>
      <w:tr>
        <w:tc>
          <w:tcPr>
            <w:tcW w:w="2000" w:type="dxa"/>
            <w:tcMar>
              <w:top w:w="80" w:type="dxa"/>
              <w:left w:w="120" w:type="dxa"/>
              <w:bottom w:w="80" w:type="dxa"/>
              <w:right w:w="120" w:type="dxa"/>
            </w:tcMar>
          </w:tcPr>
          <w:p w14:paraId="49CE9AAF" w14:textId="57DFD1CF">
            <w:pPr>
              <w:spacing w:after="60"/>
              <w:jc w:val="left"/>
            </w:pPr>
            <w:r>
              <w:rPr>
                <w:sz w:val="18"/>
              </w:rPr>
              <w:t xml:space="preserve">LightGBM</w:t>
            </w:r>
          </w:p>
        </w:tc>
        <w:tc>
          <w:tcPr>
            <w:tcW w:w="2500" w:type="dxa"/>
            <w:tcMar>
              <w:top w:w="80" w:type="dxa"/>
              <w:left w:w="120" w:type="dxa"/>
              <w:bottom w:w="80" w:type="dxa"/>
              <w:right w:w="120" w:type="dxa"/>
            </w:tcMar>
          </w:tcPr>
          <w:p w14:paraId="3B921E93" w14:textId="4FD6C29E">
            <w:pPr>
              <w:spacing w:after="60"/>
              <w:jc w:val="left"/>
            </w:pPr>
            <w:r>
              <w:rPr>
                <w:sz w:val="18"/>
              </w:rPr>
              <w:t xml:space="preserve">min_child_samples</w:t>
            </w:r>
          </w:p>
        </w:tc>
        <w:tc>
          <w:tcPr>
            <w:tcW w:w="4526" w:type="dxa"/>
            <w:tcMar>
              <w:top w:w="80" w:type="dxa"/>
              <w:left w:w="120" w:type="dxa"/>
              <w:bottom w:w="80" w:type="dxa"/>
              <w:right w:w="120" w:type="dxa"/>
            </w:tcMar>
          </w:tcPr>
          <w:p w14:paraId="6EA3C7F2" w14:textId="5745EC8F">
            <w:pPr>
              <w:spacing w:after="60"/>
              <w:jc w:val="left"/>
            </w:pPr>
            <w:r>
              <w:rPr>
                <w:sz w:val="18"/>
              </w:rPr>
              <w:t xml:space="preserve">Uniforme entera [10, 100)</w:t>
            </w:r>
          </w:p>
        </w:tc>
      </w:tr>
      <w:tr>
        <w:tc>
          <w:tcPr>
            <w:tcW w:w="2000" w:type="dxa"/>
            <w:tcMar>
              <w:top w:w="80" w:type="dxa"/>
              <w:left w:w="120" w:type="dxa"/>
              <w:bottom w:w="80" w:type="dxa"/>
              <w:right w:w="120" w:type="dxa"/>
            </w:tcMar>
          </w:tcPr>
          <w:p w14:paraId="32C5BEAB" w14:textId="6546D26F">
            <w:pPr>
              <w:spacing w:after="60"/>
              <w:jc w:val="left"/>
            </w:pPr>
            <w:r>
              <w:rPr>
                <w:sz w:val="18"/>
              </w:rPr>
              <w:t xml:space="preserve">LightGBM</w:t>
            </w:r>
          </w:p>
        </w:tc>
        <w:tc>
          <w:tcPr>
            <w:tcW w:w="2500" w:type="dxa"/>
            <w:tcMar>
              <w:top w:w="80" w:type="dxa"/>
              <w:left w:w="120" w:type="dxa"/>
              <w:bottom w:w="80" w:type="dxa"/>
              <w:right w:w="120" w:type="dxa"/>
            </w:tcMar>
          </w:tcPr>
          <w:p w14:paraId="54A3C525" w14:textId="44E35E63">
            <w:pPr>
              <w:spacing w:after="60"/>
              <w:jc w:val="left"/>
            </w:pPr>
            <w:r>
              <w:rPr>
                <w:sz w:val="18"/>
              </w:rPr>
              <w:t xml:space="preserve">reg_alpha / reg_lambda</w:t>
            </w:r>
          </w:p>
        </w:tc>
        <w:tc>
          <w:tcPr>
            <w:tcW w:w="4526" w:type="dxa"/>
            <w:tcMar>
              <w:top w:w="80" w:type="dxa"/>
              <w:left w:w="120" w:type="dxa"/>
              <w:bottom w:w="80" w:type="dxa"/>
              <w:right w:w="120" w:type="dxa"/>
            </w:tcMar>
          </w:tcPr>
          <w:p w14:paraId="78724C9D" w14:textId="7FC2498F">
            <w:pPr>
              <w:spacing w:after="60"/>
              <w:jc w:val="left"/>
            </w:pPr>
            <w:r>
              <w:rPr>
                <w:sz w:val="18"/>
              </w:rPr>
              <w:t xml:space="preserve">Uniforme real [0.0, 0.5) / [0.0, 1.0)</w:t>
            </w:r>
          </w:p>
        </w:tc>
      </w:tr>
    </w:tbl>
    <w:p w14:paraId="4A05A073" w14:textId="497CBAA0" w:rsidR="4A05A073" w:rsidRDefault="4A05A073">
      <w:pPr>
        <w:spacing w:before="60" w:after="200"/>
      </w:pPr>
      <w:r>
        <w:rPr>
          <w:i/>
          <w:sz w:val="18"/>
        </w:rPr>
        <w:t>Fuente: Elaboración propia. Submuestra estratificada del 30 % del conjunto de entrenamiento.</w:t>
      </w:r>
    </w:p>
    <w:p w14:paraId="024169A5" w14:textId="7497E246" w:rsidR="00B74E12" w:rsidRDefault="00B74E12">
      <w:pPr>
        <w:pStyle w:val="Ttulo3"/>
      </w:pPr>
      <w:r>
        <w:t>Métricas de evaluación en entornos desbalanceados</w:t>
      </w:r>
    </w:p>
    <w:p w14:paraId="4C0DD850" w14:textId="64A4F583" w:rsidR="00B74E12" w:rsidRDefault="00B74E12">
      <w:r>
        <w:t>La evaluación del rendimiento de los clasificadores en contextos de fraude no puede basarse en métricas globales como la exactitud (accuracy), que resulta engañosamente alta en presencia de desbalanceo extremo. El instrumento fundamental de análisis es la matriz de confusión, que descompone las predicciones del modelo en cuatro categorías: Verdaderos Positivos (TP: fraudes correctamente detectados), Verdaderos Negativos (TN: transacciones legítimas correctamente clasificadas), Falsos Positivos (FP: transacciones legítimas erróneamente marcadas como fraude) y Falsos Negativos (FN: fraudes no detectados). En el contexto operativo del comercio electrónico, los FN son especialmente costosos —representan fraudes que el sistema no detectó y que generan pérdidas económicas directas—, mientras que los FP tienen un coste indirecto en términos de experiencia del usuario legítimo bloqueado y en la carga operativa de los equipos de atención al cliente (Dal Pozzolo et al., 2018).</w:t>
      </w:r>
    </w:p>
    <w:p w14:paraId="270B5747" w14:textId="3C8414FD" w:rsidR="270B5747" w:rsidRDefault="270B5747">
      <w:pPr>
        <w:spacing w:before="200" w:after="60"/>
      </w:pPr>
      <w:r>
        <w:rPr>
          <w:b/>
          <w:sz w:val="20"/>
        </w:rPr>
        <w:t xml:space="preserve">Tabla 4. Estructura de la matriz de confusión para clasificación binaria de fraude</w:t>
      </w:r>
    </w:p>
    <w:tbl>
      <w:tblPr>
        <w:tblW w:w="9026"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2400"/>
        <w:gridCol w:w="3313"/>
        <w:gridCol w:w="3313"/>
      </w:tblGrid>
      <w:tr>
        <w:trPr>
          <w:tblHeader/>
        </w:trPr>
        <w:tc>
          <w:tcPr>
            <w:tcW w:w="2400" w:type="dxa"/>
            <w:shading w:val="clear" w:color="auto" w:fill="D6E4F0"/>
            <w:tcMar>
              <w:top w:w="80" w:type="dxa"/>
              <w:left w:w="120" w:type="dxa"/>
              <w:bottom w:w="80" w:type="dxa"/>
              <w:right w:w="120" w:type="dxa"/>
            </w:tcMar>
          </w:tcPr>
          <w:p w14:paraId="35C8EBBC" w14:textId="1EAF24CF">
            <w:pPr>
              <w:spacing w:after="60"/>
              <w:jc w:val="center"/>
            </w:pPr>
            <w:r>
              <w:rPr>
                <w:b/>
                <w:sz w:val="18"/>
              </w:rPr>
              <w:t xml:space="preserve"/>
            </w:r>
          </w:p>
        </w:tc>
        <w:tc>
          <w:tcPr>
            <w:tcW w:w="3313" w:type="dxa"/>
            <w:shading w:val="clear" w:color="auto" w:fill="D6E4F0"/>
            <w:tcMar>
              <w:top w:w="80" w:type="dxa"/>
              <w:left w:w="120" w:type="dxa"/>
              <w:bottom w:w="80" w:type="dxa"/>
              <w:right w:w="120" w:type="dxa"/>
            </w:tcMar>
          </w:tcPr>
          <w:p w14:paraId="383715E7" w14:textId="10EEF429">
            <w:pPr>
              <w:spacing w:after="60"/>
              <w:jc w:val="center"/>
            </w:pPr>
            <w:r>
              <w:rPr>
                <w:b/>
                <w:sz w:val="18"/>
              </w:rPr>
              <w:t xml:space="preserve">Predicho: Legítima (0)</w:t>
            </w:r>
          </w:p>
        </w:tc>
        <w:tc>
          <w:tcPr>
            <w:tcW w:w="3313" w:type="dxa"/>
            <w:shading w:val="clear" w:color="auto" w:fill="D6E4F0"/>
            <w:tcMar>
              <w:top w:w="80" w:type="dxa"/>
              <w:left w:w="120" w:type="dxa"/>
              <w:bottom w:w="80" w:type="dxa"/>
              <w:right w:w="120" w:type="dxa"/>
            </w:tcMar>
          </w:tcPr>
          <w:p w14:paraId="50333FE7" w14:textId="3D763B37">
            <w:pPr>
              <w:spacing w:after="60"/>
              <w:jc w:val="center"/>
            </w:pPr>
            <w:r>
              <w:rPr>
                <w:b/>
                <w:sz w:val="18"/>
              </w:rPr>
              <w:t xml:space="preserve">Predicho: Fraude (1)</w:t>
            </w:r>
          </w:p>
        </w:tc>
      </w:tr>
      <w:tr>
        <w:tc>
          <w:tcPr>
            <w:tcW w:w="2400" w:type="dxa"/>
            <w:tcMar>
              <w:top w:w="80" w:type="dxa"/>
              <w:left w:w="120" w:type="dxa"/>
              <w:bottom w:w="80" w:type="dxa"/>
              <w:right w:w="120" w:type="dxa"/>
            </w:tcMar>
          </w:tcPr>
          <w:p w14:paraId="6146881D" w14:textId="3C62E3C1">
            <w:pPr>
              <w:spacing w:after="60"/>
              <w:jc w:val="left"/>
            </w:pPr>
            <w:r>
              <w:rPr>
                <w:sz w:val="18"/>
              </w:rPr>
              <w:t xml:space="preserve">Real: Legítima (0)</w:t>
            </w:r>
          </w:p>
        </w:tc>
        <w:tc>
          <w:tcPr>
            <w:tcW w:w="3313" w:type="dxa"/>
            <w:tcMar>
              <w:top w:w="80" w:type="dxa"/>
              <w:left w:w="120" w:type="dxa"/>
              <w:bottom w:w="80" w:type="dxa"/>
              <w:right w:w="120" w:type="dxa"/>
            </w:tcMar>
          </w:tcPr>
          <w:p w14:paraId="4506A40F" w14:textId="520A30A6">
            <w:pPr>
              <w:spacing w:after="60"/>
              <w:jc w:val="left"/>
            </w:pPr>
            <w:r>
              <w:rPr>
                <w:sz w:val="18"/>
              </w:rPr>
              <w:t xml:space="preserve">TN — Verdadero Negativo
Transacción legítima clasificada correctamente</w:t>
            </w:r>
          </w:p>
        </w:tc>
        <w:tc>
          <w:tcPr>
            <w:tcW w:w="3313" w:type="dxa"/>
            <w:tcMar>
              <w:top w:w="80" w:type="dxa"/>
              <w:left w:w="120" w:type="dxa"/>
              <w:bottom w:w="80" w:type="dxa"/>
              <w:right w:w="120" w:type="dxa"/>
            </w:tcMar>
          </w:tcPr>
          <w:p w14:paraId="198D8D1B" w14:textId="147AC9CD">
            <w:pPr>
              <w:spacing w:after="60"/>
              <w:jc w:val="left"/>
            </w:pPr>
            <w:r>
              <w:rPr>
                <w:sz w:val="18"/>
              </w:rPr>
              <w:t xml:space="preserve">FP — Falso Positivo
Transacción legítima marcada como fraude (falsa alarma)</w:t>
            </w:r>
          </w:p>
        </w:tc>
      </w:tr>
      <w:tr>
        <w:tc>
          <w:tcPr>
            <w:tcW w:w="2400" w:type="dxa"/>
            <w:tcMar>
              <w:top w:w="80" w:type="dxa"/>
              <w:left w:w="120" w:type="dxa"/>
              <w:bottom w:w="80" w:type="dxa"/>
              <w:right w:w="120" w:type="dxa"/>
            </w:tcMar>
          </w:tcPr>
          <w:p w14:paraId="46ABA466" w14:textId="4FA25C53">
            <w:pPr>
              <w:spacing w:after="60"/>
              <w:jc w:val="left"/>
            </w:pPr>
            <w:r>
              <w:rPr>
                <w:sz w:val="18"/>
              </w:rPr>
              <w:t xml:space="preserve">Real: Fraude (1)</w:t>
            </w:r>
          </w:p>
        </w:tc>
        <w:tc>
          <w:tcPr>
            <w:tcW w:w="3313" w:type="dxa"/>
            <w:tcMar>
              <w:top w:w="80" w:type="dxa"/>
              <w:left w:w="120" w:type="dxa"/>
              <w:bottom w:w="80" w:type="dxa"/>
              <w:right w:w="120" w:type="dxa"/>
            </w:tcMar>
          </w:tcPr>
          <w:p w14:paraId="5EB2F818" w14:textId="1F7F2DFF">
            <w:pPr>
              <w:spacing w:after="60"/>
              <w:jc w:val="left"/>
            </w:pPr>
            <w:r>
              <w:rPr>
                <w:sz w:val="18"/>
              </w:rPr>
              <w:t xml:space="preserve">FN — Falso Negativo
Fraude no detectado (pérdida económica directa)</w:t>
            </w:r>
          </w:p>
        </w:tc>
        <w:tc>
          <w:tcPr>
            <w:tcW w:w="3313" w:type="dxa"/>
            <w:tcMar>
              <w:top w:w="80" w:type="dxa"/>
              <w:left w:w="120" w:type="dxa"/>
              <w:bottom w:w="80" w:type="dxa"/>
              <w:right w:w="120" w:type="dxa"/>
            </w:tcMar>
          </w:tcPr>
          <w:p w14:paraId="5CAFD498" w14:textId="6D53DFE3">
            <w:pPr>
              <w:spacing w:after="60"/>
              <w:jc w:val="left"/>
            </w:pPr>
            <w:r>
              <w:rPr>
                <w:sz w:val="18"/>
              </w:rPr>
              <w:t xml:space="preserve">TP — Verdadero Positivo
Fraude detectado correctamente</w:t>
            </w:r>
          </w:p>
        </w:tc>
      </w:tr>
    </w:tbl>
    <w:p w14:paraId="70113719" w14:textId="02F68340" w:rsidR="70113719" w:rsidRDefault="70113719">
      <w:pPr>
        <w:spacing w:before="60" w:after="200"/>
      </w:pPr>
      <w:r>
        <w:rPr>
          <w:i/>
          <w:sz w:val="18"/>
        </w:rPr>
        <w:t>Fuente: Elaboración propia. Los costes operativos de FN y FP son asimétricos en entornos de e-commerce (Dal Pozzolo et al., 2018).</w:t>
      </w:r>
    </w:p>
    <w:p w14:paraId="4228E326" w14:textId="661C51B2" w:rsidR="00B74E12" w:rsidRDefault="00B74E12">
      <w:r>
        <w:t>A partir de la matriz de confusión se derivan las métricas primarias de evaluación para entornos desbalanceados. La Precisión (P = TP / (TP + FP)) mide qué proporción de las alertas de fraude generadas por el modelo corresponden a fraudes reales, siendo crítica para minimizar el número de falsas alarmas. El Recall o Sensibilidad (R = TP / (TP + FN)) mide qué proporción del total de fraudes reales fue detectada por el sistema, siendo fundamental para maximizar la cobertura de detección. Dado que Precisión y Recall presentan una relación de compromiso inversa —incrementar uno tiende a reducir el otro—, el F1-score (F1 = 2 x P x R / (P + R)) sintetiza ambas métricas en un único valor mediante su media armónica, penalizando fuertemente los modelos con rendimiento asimétrico. El F1-score es especialmente apropiado como métrica de optimización del umbral de decisión, al reflejar simultáneamente la capacidad del modelo para detectar fraudes y para evitar alarmas innecesarias (Noriega et al., 2023).</w:t>
      </w:r>
    </w:p>
    <w:p w14:paraId="436BF93B" w14:textId="56DE8DF5" w:rsidR="00B74E12" w:rsidRDefault="00B74E12">
      <w:r>
        <w:lastRenderedPageBreak/>
        <w:t>El Área Bajo la Curva ROC (AUC-ROC) se posiciona como el estándar de oro para la evaluación de clasificadores binarios en entornos desbalanceados, siendo ampliamente utilizado como métrica de referencia en la literatura de detección de fraude y credit scoring (Lessmann et al., 2015). La curva ROC traza la tasa de verdaderos positivos (Recall) frente a la tasa de falsos positivos (1 - Especificidad) para todos los posibles umbrales de decisión del modelo, ofreciendo una visión integral de su capacidad discriminativa independientemente del umbral seleccionado. Un AUC de 0,5 equivale a una clasificación aleatoria, mientras que un AUC de 1,0 representa una separación perfecta entre clases. Complementariamente, la selección del umbral óptimo de decisión —el valor de probabilidad a partir del cual una transacción se clasifica como fraude— es tan crítica como la propia elección del algoritmo. El umbral por defecto de 0,5 resulta inadecuado en contextos de desbalanceo extremo, siendo necesario explorar el espacio de umbrales en el conjunto de validación para identificar el valor que maximiza la métrica de negocio deseada, en este caso el F1-score operativo.</w:t>
      </w:r>
    </w:p>
    <w:p w14:paraId="1C0A7C82" w14:textId="5DE359B9" w:rsidR="00B74E12" w:rsidRPr="00C74A5D" w:rsidRDefault="00B74E12">
      <w:pPr>
        <w:pStyle w:val="Ttulo3"/>
        <w:rPr>
          <w:lang w:val="en-US"/>
        </w:rPr>
      </w:pPr>
      <w:r>
        <w:rPr>
          <w:lang w:val="en-US"/>
        </w:rPr>
        <w:t>Dataset: IEEE-CIS Fraud Detection</w:t>
      </w:r>
    </w:p>
    <w:p w14:paraId="6BE3B570" w14:textId="17B2C5E4" w:rsidR="00B74E12" w:rsidRDefault="00B74E12">
      <w:r>
        <w:t>El conjunto de datos utilizado en este trabajo proviene de la competición IEEE-CIS Fraud Detection, organizada por la sociedad de ingeniería IEEE y la empresa de procesamiento de pagos Vesta Corporation, y publicada en la plataforma Kaggle en 2019. El dataset se compone de dos archivos complementarios: una tabla de transacciones (590.540 registros de entrenamiento x 394 variables) y una tabla de identidad (144.233 registros x 41 variables), que se integran mediante el identificador único TransactionID. El conjunto de entrenamiento final, tras la fusión de ambas tablas mediante un left join, contiene 590.540 registros y 434 variables originales, de las cuales la variable objetivo (isFraud) presenta una tasa de fraude del 3,50 %, resultando en un ratio de desbalanceo de 27,6:1. Tras las etapas de limpieza, ingeniería de características y transformación, el dataset procesado alcanza 713 variables, lo que lo convierte en uno de los conjuntos de datos públicos de mayor dimensionalidad disponibles para la investigación en detección de fraude. Las features se organizan en bloques temáticos que abarcan el monto de la transacción, el código de producto, los atributos de la tarjeta de crédito, métricas de comportamiento del comprador, indicadores de similitud de dirección postal, y características de identidad del dispositivo utilizado para realizar la compra.</w:t>
      </w:r>
    </w:p>
    <w:p w14:paraId="6EC09C64" w14:textId="42CD9A54" w:rsidR="6EC09C64" w:rsidRDefault="6EC09C64">
      <w:pPr>
        <w:spacing w:before="200" w:after="60"/>
      </w:pPr>
      <w:r>
        <w:rPr>
          <w:b/>
          <w:sz w:val="20"/>
        </w:rPr>
        <w:t xml:space="preserve">Tabla 5. Descripción de los bloques de variables del dataset IEEE-CIS Fraud Detection</w:t>
      </w:r>
    </w:p>
    <w:tbl>
      <w:tblPr>
        <w:tblW w:w="9026"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1800"/>
        <w:gridCol w:w="2500"/>
        <w:gridCol w:w="1000"/>
        <w:gridCol w:w="3726"/>
      </w:tblGrid>
      <w:tr>
        <w:trPr>
          <w:tblHeader/>
        </w:trPr>
        <w:tc>
          <w:tcPr>
            <w:tcW w:w="1800" w:type="dxa"/>
            <w:shading w:val="clear" w:color="auto" w:fill="D6E4F0"/>
            <w:tcMar>
              <w:top w:w="80" w:type="dxa"/>
              <w:left w:w="120" w:type="dxa"/>
              <w:bottom w:w="80" w:type="dxa"/>
              <w:right w:w="120" w:type="dxa"/>
            </w:tcMar>
          </w:tcPr>
          <w:p w14:paraId="192E80BB" w14:textId="3E48E3A4">
            <w:pPr>
              <w:spacing w:after="60"/>
              <w:jc w:val="center"/>
            </w:pPr>
            <w:r>
              <w:rPr>
                <w:b/>
                <w:sz w:val="18"/>
              </w:rPr>
              <w:t xml:space="preserve">Bloque</w:t>
            </w:r>
          </w:p>
        </w:tc>
        <w:tc>
          <w:tcPr>
            <w:tcW w:w="2500" w:type="dxa"/>
            <w:shading w:val="clear" w:color="auto" w:fill="D6E4F0"/>
            <w:tcMar>
              <w:top w:w="80" w:type="dxa"/>
              <w:left w:w="120" w:type="dxa"/>
              <w:bottom w:w="80" w:type="dxa"/>
              <w:right w:w="120" w:type="dxa"/>
            </w:tcMar>
          </w:tcPr>
          <w:p w14:paraId="5BF9D033" w14:textId="270F58B6">
            <w:pPr>
              <w:spacing w:after="60"/>
              <w:jc w:val="center"/>
            </w:pPr>
            <w:r>
              <w:rPr>
                <w:b/>
                <w:sz w:val="18"/>
              </w:rPr>
              <w:t xml:space="preserve">Variables</w:t>
            </w:r>
          </w:p>
        </w:tc>
        <w:tc>
          <w:tcPr>
            <w:tcW w:w="1000" w:type="dxa"/>
            <w:shading w:val="clear" w:color="auto" w:fill="D6E4F0"/>
            <w:tcMar>
              <w:top w:w="80" w:type="dxa"/>
              <w:left w:w="120" w:type="dxa"/>
              <w:bottom w:w="80" w:type="dxa"/>
              <w:right w:w="120" w:type="dxa"/>
            </w:tcMar>
          </w:tcPr>
          <w:p w14:paraId="581DEA5F" w14:textId="3001F9DC">
            <w:pPr>
              <w:spacing w:after="60"/>
              <w:jc w:val="center"/>
            </w:pPr>
            <w:r>
              <w:rPr>
                <w:b/>
                <w:sz w:val="18"/>
              </w:rPr>
              <w:t xml:space="preserve">N.º features</w:t>
            </w:r>
          </w:p>
        </w:tc>
        <w:tc>
          <w:tcPr>
            <w:tcW w:w="3726" w:type="dxa"/>
            <w:shading w:val="clear" w:color="auto" w:fill="D6E4F0"/>
            <w:tcMar>
              <w:top w:w="80" w:type="dxa"/>
              <w:left w:w="120" w:type="dxa"/>
              <w:bottom w:w="80" w:type="dxa"/>
              <w:right w:w="120" w:type="dxa"/>
            </w:tcMar>
          </w:tcPr>
          <w:p w14:paraId="3611F010" w14:textId="474DABE6">
            <w:pPr>
              <w:spacing w:after="60"/>
              <w:jc w:val="center"/>
            </w:pPr>
            <w:r>
              <w:rPr>
                <w:b/>
                <w:sz w:val="18"/>
              </w:rPr>
              <w:t xml:space="preserve">Descripción</w:t>
            </w:r>
          </w:p>
        </w:tc>
      </w:tr>
      <w:tr>
        <w:tc>
          <w:tcPr>
            <w:tcW w:w="1800" w:type="dxa"/>
            <w:tcMar>
              <w:top w:w="80" w:type="dxa"/>
              <w:left w:w="120" w:type="dxa"/>
              <w:bottom w:w="80" w:type="dxa"/>
              <w:right w:w="120" w:type="dxa"/>
            </w:tcMar>
          </w:tcPr>
          <w:p w14:paraId="6B03C10F" w14:textId="57D8485F">
            <w:pPr>
              <w:spacing w:after="60"/>
              <w:jc w:val="left"/>
            </w:pPr>
            <w:r>
              <w:rPr>
                <w:sz w:val="18"/>
              </w:rPr>
              <w:t xml:space="preserve">Transacción</w:t>
            </w:r>
          </w:p>
        </w:tc>
        <w:tc>
          <w:tcPr>
            <w:tcW w:w="2500" w:type="dxa"/>
            <w:tcMar>
              <w:top w:w="80" w:type="dxa"/>
              <w:left w:w="120" w:type="dxa"/>
              <w:bottom w:w="80" w:type="dxa"/>
              <w:right w:w="120" w:type="dxa"/>
            </w:tcMar>
          </w:tcPr>
          <w:p w14:paraId="422386EB" w14:textId="743C9FCD">
            <w:pPr>
              <w:spacing w:after="60"/>
              <w:jc w:val="left"/>
            </w:pPr>
            <w:r>
              <w:rPr>
                <w:sz w:val="18"/>
              </w:rPr>
              <w:t xml:space="preserve">TransactionAmt, TransactionDT</w:t>
            </w:r>
          </w:p>
        </w:tc>
        <w:tc>
          <w:tcPr>
            <w:tcW w:w="1000" w:type="dxa"/>
            <w:tcMar>
              <w:top w:w="80" w:type="dxa"/>
              <w:left w:w="120" w:type="dxa"/>
              <w:bottom w:w="80" w:type="dxa"/>
              <w:right w:w="120" w:type="dxa"/>
            </w:tcMar>
          </w:tcPr>
          <w:p w14:paraId="2919A17C" w14:textId="7D91820A">
            <w:pPr>
              <w:spacing w:after="60"/>
              <w:jc w:val="left"/>
            </w:pPr>
            <w:r>
              <w:rPr>
                <w:sz w:val="18"/>
              </w:rPr>
              <w:t xml:space="preserve">2</w:t>
            </w:r>
          </w:p>
        </w:tc>
        <w:tc>
          <w:tcPr>
            <w:tcW w:w="3726" w:type="dxa"/>
            <w:tcMar>
              <w:top w:w="80" w:type="dxa"/>
              <w:left w:w="120" w:type="dxa"/>
              <w:bottom w:w="80" w:type="dxa"/>
              <w:right w:w="120" w:type="dxa"/>
            </w:tcMar>
          </w:tcPr>
          <w:p w14:paraId="26A38746" w14:textId="661D1F23">
            <w:pPr>
              <w:spacing w:after="60"/>
              <w:jc w:val="left"/>
            </w:pPr>
            <w:r>
              <w:rPr>
                <w:sz w:val="18"/>
              </w:rPr>
              <w:t xml:space="preserve">Monto y marca de tiempo de la transacción</w:t>
            </w:r>
          </w:p>
        </w:tc>
      </w:tr>
      <w:tr>
        <w:tc>
          <w:tcPr>
            <w:tcW w:w="1800" w:type="dxa"/>
            <w:tcMar>
              <w:top w:w="80" w:type="dxa"/>
              <w:left w:w="120" w:type="dxa"/>
              <w:bottom w:w="80" w:type="dxa"/>
              <w:right w:w="120" w:type="dxa"/>
            </w:tcMar>
          </w:tcPr>
          <w:p w14:paraId="6EC24303" w14:textId="7ECCC916">
            <w:pPr>
              <w:spacing w:after="60"/>
              <w:jc w:val="left"/>
            </w:pPr>
            <w:r>
              <w:rPr>
                <w:sz w:val="18"/>
              </w:rPr>
              <w:t xml:space="preserve">Producto</w:t>
            </w:r>
          </w:p>
        </w:tc>
        <w:tc>
          <w:tcPr>
            <w:tcW w:w="2500" w:type="dxa"/>
            <w:tcMar>
              <w:top w:w="80" w:type="dxa"/>
              <w:left w:w="120" w:type="dxa"/>
              <w:bottom w:w="80" w:type="dxa"/>
              <w:right w:w="120" w:type="dxa"/>
            </w:tcMar>
          </w:tcPr>
          <w:p w14:paraId="698E9C73" w14:textId="2BD7F63B">
            <w:pPr>
              <w:spacing w:after="60"/>
              <w:jc w:val="left"/>
            </w:pPr>
            <w:r>
              <w:rPr>
                <w:sz w:val="18"/>
              </w:rPr>
              <w:t xml:space="preserve">ProductCD</w:t>
            </w:r>
          </w:p>
        </w:tc>
        <w:tc>
          <w:tcPr>
            <w:tcW w:w="1000" w:type="dxa"/>
            <w:tcMar>
              <w:top w:w="80" w:type="dxa"/>
              <w:left w:w="120" w:type="dxa"/>
              <w:bottom w:w="80" w:type="dxa"/>
              <w:right w:w="120" w:type="dxa"/>
            </w:tcMar>
          </w:tcPr>
          <w:p w14:paraId="791CAD35" w14:textId="53EB8BE1">
            <w:pPr>
              <w:spacing w:after="60"/>
              <w:jc w:val="left"/>
            </w:pPr>
            <w:r>
              <w:rPr>
                <w:sz w:val="18"/>
              </w:rPr>
              <w:t xml:space="preserve">1</w:t>
            </w:r>
          </w:p>
        </w:tc>
        <w:tc>
          <w:tcPr>
            <w:tcW w:w="3726" w:type="dxa"/>
            <w:tcMar>
              <w:top w:w="80" w:type="dxa"/>
              <w:left w:w="120" w:type="dxa"/>
              <w:bottom w:w="80" w:type="dxa"/>
              <w:right w:w="120" w:type="dxa"/>
            </w:tcMar>
          </w:tcPr>
          <w:p w14:paraId="128D663D" w14:textId="3514056F">
            <w:pPr>
              <w:spacing w:after="60"/>
              <w:jc w:val="left"/>
            </w:pPr>
            <w:r>
              <w:rPr>
                <w:sz w:val="18"/>
              </w:rPr>
              <w:t xml:space="preserve">Código del tipo de producto (W, H, C, S, R)</w:t>
            </w:r>
          </w:p>
        </w:tc>
      </w:tr>
      <w:tr>
        <w:tc>
          <w:tcPr>
            <w:tcW w:w="1800" w:type="dxa"/>
            <w:tcMar>
              <w:top w:w="80" w:type="dxa"/>
              <w:left w:w="120" w:type="dxa"/>
              <w:bottom w:w="80" w:type="dxa"/>
              <w:right w:w="120" w:type="dxa"/>
            </w:tcMar>
          </w:tcPr>
          <w:p w14:paraId="5A778490" w14:textId="7C092CA7">
            <w:pPr>
              <w:spacing w:after="60"/>
              <w:jc w:val="left"/>
            </w:pPr>
            <w:r>
              <w:rPr>
                <w:sz w:val="18"/>
              </w:rPr>
              <w:t xml:space="preserve">Tarjeta</w:t>
            </w:r>
          </w:p>
        </w:tc>
        <w:tc>
          <w:tcPr>
            <w:tcW w:w="2500" w:type="dxa"/>
            <w:tcMar>
              <w:top w:w="80" w:type="dxa"/>
              <w:left w:w="120" w:type="dxa"/>
              <w:bottom w:w="80" w:type="dxa"/>
              <w:right w:w="120" w:type="dxa"/>
            </w:tcMar>
          </w:tcPr>
          <w:p w14:paraId="549A4402" w14:textId="1B7E5DF0">
            <w:pPr>
              <w:spacing w:after="60"/>
              <w:jc w:val="left"/>
            </w:pPr>
            <w:r>
              <w:rPr>
                <w:sz w:val="18"/>
              </w:rPr>
              <w:t xml:space="preserve">card1 – card6</w:t>
            </w:r>
          </w:p>
        </w:tc>
        <w:tc>
          <w:tcPr>
            <w:tcW w:w="1000" w:type="dxa"/>
            <w:tcMar>
              <w:top w:w="80" w:type="dxa"/>
              <w:left w:w="120" w:type="dxa"/>
              <w:bottom w:w="80" w:type="dxa"/>
              <w:right w:w="120" w:type="dxa"/>
            </w:tcMar>
          </w:tcPr>
          <w:p w14:paraId="62594C97" w14:textId="1DA1967A">
            <w:pPr>
              <w:spacing w:after="60"/>
              <w:jc w:val="left"/>
            </w:pPr>
            <w:r>
              <w:rPr>
                <w:sz w:val="18"/>
              </w:rPr>
              <w:t xml:space="preserve">6</w:t>
            </w:r>
          </w:p>
        </w:tc>
        <w:tc>
          <w:tcPr>
            <w:tcW w:w="3726" w:type="dxa"/>
            <w:tcMar>
              <w:top w:w="80" w:type="dxa"/>
              <w:left w:w="120" w:type="dxa"/>
              <w:bottom w:w="80" w:type="dxa"/>
              <w:right w:w="120" w:type="dxa"/>
            </w:tcMar>
          </w:tcPr>
          <w:p w14:paraId="6ED7AD9F" w14:textId="5D17AF36">
            <w:pPr>
              <w:spacing w:after="60"/>
              <w:jc w:val="left"/>
            </w:pPr>
            <w:r>
              <w:rPr>
                <w:sz w:val="18"/>
              </w:rPr>
              <w:t xml:space="preserve">Número, tipo, banco emisor, país y nivel de la tarjeta</w:t>
            </w:r>
          </w:p>
        </w:tc>
      </w:tr>
      <w:tr>
        <w:tc>
          <w:tcPr>
            <w:tcW w:w="1800" w:type="dxa"/>
            <w:tcMar>
              <w:top w:w="80" w:type="dxa"/>
              <w:left w:w="120" w:type="dxa"/>
              <w:bottom w:w="80" w:type="dxa"/>
              <w:right w:w="120" w:type="dxa"/>
            </w:tcMar>
          </w:tcPr>
          <w:p w14:paraId="52F6421B" w14:textId="65039D11">
            <w:pPr>
              <w:spacing w:after="60"/>
              <w:jc w:val="left"/>
            </w:pPr>
            <w:r>
              <w:rPr>
                <w:sz w:val="18"/>
              </w:rPr>
              <w:t xml:space="preserve">Comportamiento</w:t>
            </w:r>
          </w:p>
        </w:tc>
        <w:tc>
          <w:tcPr>
            <w:tcW w:w="2500" w:type="dxa"/>
            <w:tcMar>
              <w:top w:w="80" w:type="dxa"/>
              <w:left w:w="120" w:type="dxa"/>
              <w:bottom w:w="80" w:type="dxa"/>
              <w:right w:w="120" w:type="dxa"/>
            </w:tcMar>
          </w:tcPr>
          <w:p w14:paraId="7F70BA71" w14:textId="24D68F9F">
            <w:pPr>
              <w:spacing w:after="60"/>
              <w:jc w:val="left"/>
            </w:pPr>
            <w:r>
              <w:rPr>
                <w:sz w:val="18"/>
              </w:rPr>
              <w:t xml:space="preserve">C1 – C14</w:t>
            </w:r>
          </w:p>
        </w:tc>
        <w:tc>
          <w:tcPr>
            <w:tcW w:w="1000" w:type="dxa"/>
            <w:tcMar>
              <w:top w:w="80" w:type="dxa"/>
              <w:left w:w="120" w:type="dxa"/>
              <w:bottom w:w="80" w:type="dxa"/>
              <w:right w:w="120" w:type="dxa"/>
            </w:tcMar>
          </w:tcPr>
          <w:p w14:paraId="3BA2591F" w14:textId="2C429323">
            <w:pPr>
              <w:spacing w:after="60"/>
              <w:jc w:val="left"/>
            </w:pPr>
            <w:r>
              <w:rPr>
                <w:sz w:val="18"/>
              </w:rPr>
              <w:t xml:space="preserve">14</w:t>
            </w:r>
          </w:p>
        </w:tc>
        <w:tc>
          <w:tcPr>
            <w:tcW w:w="3726" w:type="dxa"/>
            <w:tcMar>
              <w:top w:w="80" w:type="dxa"/>
              <w:left w:w="120" w:type="dxa"/>
              <w:bottom w:w="80" w:type="dxa"/>
              <w:right w:w="120" w:type="dxa"/>
            </w:tcMar>
          </w:tcPr>
          <w:p w14:paraId="25F30A3F" w14:textId="160C41F6">
            <w:pPr>
              <w:spacing w:after="60"/>
              <w:jc w:val="left"/>
            </w:pPr>
            <w:r>
              <w:rPr>
                <w:sz w:val="18"/>
              </w:rPr>
              <w:t xml:space="preserve">Contadores de comportamiento del comprador</w:t>
            </w:r>
          </w:p>
        </w:tc>
      </w:tr>
      <w:tr>
        <w:tc>
          <w:tcPr>
            <w:tcW w:w="1800" w:type="dxa"/>
            <w:tcMar>
              <w:top w:w="80" w:type="dxa"/>
              <w:left w:w="120" w:type="dxa"/>
              <w:bottom w:w="80" w:type="dxa"/>
              <w:right w:w="120" w:type="dxa"/>
            </w:tcMar>
          </w:tcPr>
          <w:p w14:paraId="5B8F3EC3" w14:textId="5CB11EE9">
            <w:pPr>
              <w:spacing w:after="60"/>
              <w:jc w:val="left"/>
            </w:pPr>
            <w:r>
              <w:rPr>
                <w:sz w:val="18"/>
              </w:rPr>
              <w:t xml:space="preserve">Tiempo/Dist.</w:t>
            </w:r>
          </w:p>
        </w:tc>
        <w:tc>
          <w:tcPr>
            <w:tcW w:w="2500" w:type="dxa"/>
            <w:tcMar>
              <w:top w:w="80" w:type="dxa"/>
              <w:left w:w="120" w:type="dxa"/>
              <w:bottom w:w="80" w:type="dxa"/>
              <w:right w:w="120" w:type="dxa"/>
            </w:tcMar>
          </w:tcPr>
          <w:p w14:paraId="400723A8" w14:textId="20BBC4BB">
            <w:pPr>
              <w:spacing w:after="60"/>
              <w:jc w:val="left"/>
            </w:pPr>
            <w:r>
              <w:rPr>
                <w:sz w:val="18"/>
              </w:rPr>
              <w:t xml:space="preserve">D1 – D15</w:t>
            </w:r>
          </w:p>
        </w:tc>
        <w:tc>
          <w:tcPr>
            <w:tcW w:w="1000" w:type="dxa"/>
            <w:tcMar>
              <w:top w:w="80" w:type="dxa"/>
              <w:left w:w="120" w:type="dxa"/>
              <w:bottom w:w="80" w:type="dxa"/>
              <w:right w:w="120" w:type="dxa"/>
            </w:tcMar>
          </w:tcPr>
          <w:p w14:paraId="58BC30BD" w14:textId="402C45F6">
            <w:pPr>
              <w:spacing w:after="60"/>
              <w:jc w:val="left"/>
            </w:pPr>
            <w:r>
              <w:rPr>
                <w:sz w:val="18"/>
              </w:rPr>
              <w:t xml:space="preserve">15</w:t>
            </w:r>
          </w:p>
        </w:tc>
        <w:tc>
          <w:tcPr>
            <w:tcW w:w="3726" w:type="dxa"/>
            <w:tcMar>
              <w:top w:w="80" w:type="dxa"/>
              <w:left w:w="120" w:type="dxa"/>
              <w:bottom w:w="80" w:type="dxa"/>
              <w:right w:w="120" w:type="dxa"/>
            </w:tcMar>
          </w:tcPr>
          <w:p w14:paraId="1CB6791B" w14:textId="4AADB02C">
            <w:pPr>
              <w:spacing w:after="60"/>
              <w:jc w:val="left"/>
            </w:pPr>
            <w:r>
              <w:rPr>
                <w:sz w:val="18"/>
              </w:rPr>
              <w:t xml:space="preserve">Días desde eventos previos y distancias geográficas</w:t>
            </w:r>
          </w:p>
        </w:tc>
      </w:tr>
      <w:tr>
        <w:tc>
          <w:tcPr>
            <w:tcW w:w="1800" w:type="dxa"/>
            <w:tcMar>
              <w:top w:w="80" w:type="dxa"/>
              <w:left w:w="120" w:type="dxa"/>
              <w:bottom w:w="80" w:type="dxa"/>
              <w:right w:w="120" w:type="dxa"/>
            </w:tcMar>
          </w:tcPr>
          <w:p w14:paraId="57F62D28" w14:textId="475DBA69">
            <w:pPr>
              <w:spacing w:after="60"/>
              <w:jc w:val="left"/>
            </w:pPr>
            <w:r>
              <w:rPr>
                <w:sz w:val="18"/>
              </w:rPr>
              <w:t xml:space="preserve">Similitud</w:t>
            </w:r>
          </w:p>
        </w:tc>
        <w:tc>
          <w:tcPr>
            <w:tcW w:w="2500" w:type="dxa"/>
            <w:tcMar>
              <w:top w:w="80" w:type="dxa"/>
              <w:left w:w="120" w:type="dxa"/>
              <w:bottom w:w="80" w:type="dxa"/>
              <w:right w:w="120" w:type="dxa"/>
            </w:tcMar>
          </w:tcPr>
          <w:p w14:paraId="5308A2DD" w14:textId="36C49FF2">
            <w:pPr>
              <w:spacing w:after="60"/>
              <w:jc w:val="left"/>
            </w:pPr>
            <w:r>
              <w:rPr>
                <w:sz w:val="18"/>
              </w:rPr>
              <w:t xml:space="preserve">M1 – M9</w:t>
            </w:r>
          </w:p>
        </w:tc>
        <w:tc>
          <w:tcPr>
            <w:tcW w:w="1000" w:type="dxa"/>
            <w:tcMar>
              <w:top w:w="80" w:type="dxa"/>
              <w:left w:w="120" w:type="dxa"/>
              <w:bottom w:w="80" w:type="dxa"/>
              <w:right w:w="120" w:type="dxa"/>
            </w:tcMar>
          </w:tcPr>
          <w:p w14:paraId="3E52DC49" w14:textId="26EF5FC9">
            <w:pPr>
              <w:spacing w:after="60"/>
              <w:jc w:val="left"/>
            </w:pPr>
            <w:r>
              <w:rPr>
                <w:sz w:val="18"/>
              </w:rPr>
              <w:t xml:space="preserve">9</w:t>
            </w:r>
          </w:p>
        </w:tc>
        <w:tc>
          <w:tcPr>
            <w:tcW w:w="3726" w:type="dxa"/>
            <w:tcMar>
              <w:top w:w="80" w:type="dxa"/>
              <w:left w:w="120" w:type="dxa"/>
              <w:bottom w:w="80" w:type="dxa"/>
              <w:right w:w="120" w:type="dxa"/>
            </w:tcMar>
          </w:tcPr>
          <w:p w14:paraId="552C7996" w14:textId="63F67B95">
            <w:pPr>
              <w:spacing w:after="60"/>
              <w:jc w:val="left"/>
            </w:pPr>
            <w:r>
              <w:rPr>
                <w:sz w:val="18"/>
              </w:rPr>
              <w:t xml:space="preserve">Flags de coincidencia de datos (T/F/M)</w:t>
            </w:r>
          </w:p>
        </w:tc>
      </w:tr>
      <w:tr>
        <w:tc>
          <w:tcPr>
            <w:tcW w:w="1800" w:type="dxa"/>
            <w:tcMar>
              <w:top w:w="80" w:type="dxa"/>
              <w:left w:w="120" w:type="dxa"/>
              <w:bottom w:w="80" w:type="dxa"/>
              <w:right w:w="120" w:type="dxa"/>
            </w:tcMar>
          </w:tcPr>
          <w:p w14:paraId="1B197AFD" w14:textId="182366B2">
            <w:pPr>
              <w:spacing w:after="60"/>
              <w:jc w:val="left"/>
            </w:pPr>
            <w:r>
              <w:rPr>
                <w:sz w:val="18"/>
              </w:rPr>
              <w:t xml:space="preserve">Identidad</w:t>
            </w:r>
          </w:p>
        </w:tc>
        <w:tc>
          <w:tcPr>
            <w:tcW w:w="2500" w:type="dxa"/>
            <w:tcMar>
              <w:top w:w="80" w:type="dxa"/>
              <w:left w:w="120" w:type="dxa"/>
              <w:bottom w:w="80" w:type="dxa"/>
              <w:right w:w="120" w:type="dxa"/>
            </w:tcMar>
          </w:tcPr>
          <w:p w14:paraId="6401A710" w14:textId="455B9821">
            <w:pPr>
              <w:spacing w:after="60"/>
              <w:jc w:val="left"/>
            </w:pPr>
            <w:r>
              <w:rPr>
                <w:sz w:val="18"/>
              </w:rPr>
              <w:t xml:space="preserve">DeviceType, DeviceInfo, id_12–id_38</w:t>
            </w:r>
          </w:p>
        </w:tc>
        <w:tc>
          <w:tcPr>
            <w:tcW w:w="1000" w:type="dxa"/>
            <w:tcMar>
              <w:top w:w="80" w:type="dxa"/>
              <w:left w:w="120" w:type="dxa"/>
              <w:bottom w:w="80" w:type="dxa"/>
              <w:right w:w="120" w:type="dxa"/>
            </w:tcMar>
          </w:tcPr>
          <w:p w14:paraId="4D0BFACC" w14:textId="4A1A8020">
            <w:pPr>
              <w:spacing w:after="60"/>
              <w:jc w:val="left"/>
            </w:pPr>
            <w:r>
              <w:rPr>
                <w:sz w:val="18"/>
              </w:rPr>
              <w:t xml:space="preserve">42</w:t>
            </w:r>
          </w:p>
        </w:tc>
        <w:tc>
          <w:tcPr>
            <w:tcW w:w="3726" w:type="dxa"/>
            <w:tcMar>
              <w:top w:w="80" w:type="dxa"/>
              <w:left w:w="120" w:type="dxa"/>
              <w:bottom w:w="80" w:type="dxa"/>
              <w:right w:w="120" w:type="dxa"/>
            </w:tcMar>
          </w:tcPr>
          <w:p w14:paraId="1F81B034" w14:textId="29C14C56">
            <w:pPr>
              <w:spacing w:after="60"/>
              <w:jc w:val="left"/>
            </w:pPr>
            <w:r>
              <w:rPr>
                <w:sz w:val="18"/>
              </w:rPr>
              <w:t xml:space="preserve">Tipo de dispositivo, SO, navegador, proveedor</w:t>
            </w:r>
          </w:p>
        </w:tc>
      </w:tr>
      <w:tr>
        <w:tc>
          <w:tcPr>
            <w:tcW w:w="1800" w:type="dxa"/>
            <w:tcMar>
              <w:top w:w="80" w:type="dxa"/>
              <w:left w:w="120" w:type="dxa"/>
              <w:bottom w:w="80" w:type="dxa"/>
              <w:right w:w="120" w:type="dxa"/>
            </w:tcMar>
          </w:tcPr>
          <w:p w14:paraId="65499FDA" w14:textId="4DAAA041">
            <w:pPr>
              <w:spacing w:after="60"/>
              <w:jc w:val="left"/>
            </w:pPr>
            <w:r>
              <w:rPr>
                <w:sz w:val="18"/>
              </w:rPr>
              <w:t xml:space="preserve">Total original</w:t>
            </w:r>
          </w:p>
        </w:tc>
        <w:tc>
          <w:tcPr>
            <w:tcW w:w="2500" w:type="dxa"/>
            <w:tcMar>
              <w:top w:w="80" w:type="dxa"/>
              <w:left w:w="120" w:type="dxa"/>
              <w:bottom w:w="80" w:type="dxa"/>
              <w:right w:w="120" w:type="dxa"/>
            </w:tcMar>
          </w:tcPr>
          <w:p w14:paraId="7F6D6BFD" w14:textId="1A131255">
            <w:pPr>
              <w:spacing w:after="60"/>
              <w:jc w:val="left"/>
            </w:pPr>
            <w:r>
              <w:rPr>
                <w:sz w:val="18"/>
              </w:rPr>
              <w:t xml:space="preserve">—</w:t>
            </w:r>
          </w:p>
        </w:tc>
        <w:tc>
          <w:tcPr>
            <w:tcW w:w="1000" w:type="dxa"/>
            <w:tcMar>
              <w:top w:w="80" w:type="dxa"/>
              <w:left w:w="120" w:type="dxa"/>
              <w:bottom w:w="80" w:type="dxa"/>
              <w:right w:w="120" w:type="dxa"/>
            </w:tcMar>
          </w:tcPr>
          <w:p w14:paraId="2A59E183" w14:textId="4460E416">
            <w:pPr>
              <w:spacing w:after="60"/>
              <w:jc w:val="left"/>
            </w:pPr>
            <w:r>
              <w:rPr>
                <w:sz w:val="18"/>
              </w:rPr>
              <w:t xml:space="preserve">435</w:t>
            </w:r>
          </w:p>
        </w:tc>
        <w:tc>
          <w:tcPr>
            <w:tcW w:w="3726" w:type="dxa"/>
            <w:tcMar>
              <w:top w:w="80" w:type="dxa"/>
              <w:left w:w="120" w:type="dxa"/>
              <w:bottom w:w="80" w:type="dxa"/>
              <w:right w:w="120" w:type="dxa"/>
            </w:tcMar>
          </w:tcPr>
          <w:p w14:paraId="5234859C" w14:textId="78E236C2">
            <w:pPr>
              <w:spacing w:after="60"/>
              <w:jc w:val="left"/>
            </w:pPr>
            <w:r>
              <w:rPr>
                <w:sz w:val="18"/>
              </w:rPr>
              <w:t xml:space="preserve">394 (transacción) + 41 (identidad) fusionadas por TransactionID</w:t>
            </w:r>
          </w:p>
        </w:tc>
      </w:tr>
      <w:tr>
        <w:tc>
          <w:tcPr>
            <w:tcW w:w="1800" w:type="dxa"/>
            <w:tcMar>
              <w:top w:w="80" w:type="dxa"/>
              <w:left w:w="120" w:type="dxa"/>
              <w:bottom w:w="80" w:type="dxa"/>
              <w:right w:w="120" w:type="dxa"/>
            </w:tcMar>
          </w:tcPr>
          <w:p w14:paraId="39ED7F86" w14:textId="3695120A">
            <w:pPr>
              <w:spacing w:after="60"/>
              <w:jc w:val="left"/>
            </w:pPr>
            <w:r>
              <w:rPr>
                <w:sz w:val="18"/>
              </w:rPr>
              <w:t xml:space="preserve">Tras ingeniería</w:t>
            </w:r>
          </w:p>
        </w:tc>
        <w:tc>
          <w:tcPr>
            <w:tcW w:w="2500" w:type="dxa"/>
            <w:tcMar>
              <w:top w:w="80" w:type="dxa"/>
              <w:left w:w="120" w:type="dxa"/>
              <w:bottom w:w="80" w:type="dxa"/>
              <w:right w:w="120" w:type="dxa"/>
            </w:tcMar>
          </w:tcPr>
          <w:p w14:paraId="604C4A73" w14:textId="37A3FB6D">
            <w:pPr>
              <w:spacing w:after="60"/>
              <w:jc w:val="left"/>
            </w:pPr>
            <w:r>
              <w:rPr>
                <w:sz w:val="18"/>
              </w:rPr>
              <w:t xml:space="preserve">—</w:t>
            </w:r>
          </w:p>
        </w:tc>
        <w:tc>
          <w:tcPr>
            <w:tcW w:w="1000" w:type="dxa"/>
            <w:tcMar>
              <w:top w:w="80" w:type="dxa"/>
              <w:left w:w="120" w:type="dxa"/>
              <w:bottom w:w="80" w:type="dxa"/>
              <w:right w:w="120" w:type="dxa"/>
            </w:tcMar>
          </w:tcPr>
          <w:p w14:paraId="18E67E54" w14:textId="1A4B82ED">
            <w:pPr>
              <w:spacing w:after="60"/>
              <w:jc w:val="left"/>
            </w:pPr>
            <w:r>
              <w:rPr>
                <w:sz w:val="18"/>
              </w:rPr>
              <w:t xml:space="preserve">713</w:t>
            </w:r>
          </w:p>
        </w:tc>
        <w:tc>
          <w:tcPr>
            <w:tcW w:w="3726" w:type="dxa"/>
            <w:tcMar>
              <w:top w:w="80" w:type="dxa"/>
              <w:left w:w="120" w:type="dxa"/>
              <w:bottom w:w="80" w:type="dxa"/>
              <w:right w:w="120" w:type="dxa"/>
            </w:tcMar>
          </w:tcPr>
          <w:p w14:paraId="2962CA45" w14:textId="63792919">
            <w:pPr>
              <w:spacing w:after="60"/>
              <w:jc w:val="left"/>
            </w:pPr>
            <w:r>
              <w:rPr>
                <w:sz w:val="18"/>
              </w:rPr>
              <w:t xml:space="preserve">Incluye variables temporales, frecuencias y ratios derivados</w:t>
            </w:r>
          </w:p>
        </w:tc>
      </w:tr>
    </w:tbl>
    <w:p w14:paraId="7FBAFCD3" w14:textId="19EECE25" w:rsidR="7FBAFCD3" w:rsidRDefault="7FBAFCD3">
      <w:pPr>
        <w:spacing w:before="60" w:after="200"/>
      </w:pPr>
      <w:r>
        <w:rPr>
          <w:i/>
          <w:sz w:val="18"/>
        </w:rPr>
        <w:t>Fuente: IEEE-CIS Fraud Detection Competition (Kaggle, 2019). Elaboración propia.</w:t>
      </w:r>
    </w:p>
    <w:p w14:paraId="027C6658" w14:textId="7C306035" w:rsidR="00CE0B41" w:rsidRDefault="00CE0B41" w:rsidP="00234270">
      <w:pPr>
        <w:pStyle w:val="Ttulo1"/>
      </w:pPr>
      <w:bookmarkStart w:id="9" w:name="_Toc229570769"/>
      <w:r>
        <w:lastRenderedPageBreak/>
        <w:t>Metodología</w:t>
      </w:r>
      <w:bookmarkEnd w:id="9"/>
    </w:p>
    <w:p w14:paraId="3F8C638C" w14:textId="5D55CA6C" w:rsidR="00BA1770" w:rsidRPr="00BA1770" w:rsidRDefault="00BA1770" w:rsidP="00BA1770">
      <w:pPr>
        <w:rPr>
          <w:shd w:val="clear" w:color="auto" w:fill="FFFFFF"/>
          <w:lang w:eastAsia="es-ES_tradnl"/>
        </w:rPr>
      </w:pPr>
      <w:r>
        <w:rPr>
          <w:shd w:val="clear" w:color="auto" w:fill="FFFFFF"/>
          <w:lang w:eastAsia="es-ES_tradnl"/>
        </w:rPr>
        <w:t>Para llevar a cabo esta investigación con el máximo rigor científico, el desarrollo del proyecto se estructurará siguiendo las etapas fundamentales del proceso de descubrimiento de conocimiento en bases de datos. Este enfoque metodológico sistemático nos permitirá transitar de manera ordenada e iterativa desde la obtención de los registros crudos en su estado natural hasta la implementación y evaluación de los motores predictivos complejos.</w:t>
      </w:r>
    </w:p>
    <w:p w14:paraId="7212EF0F" w14:textId="5B6A19FE" w:rsidR="00BA1770" w:rsidRDefault="00BA1770" w:rsidP="00BA1770">
      <w:pPr>
        <w:pStyle w:val="Ttulo2"/>
        <w:rPr>
          <w:shd w:val="clear" w:color="auto" w:fill="FFFFFF"/>
        </w:rPr>
      </w:pPr>
      <w:bookmarkStart w:id="10" w:name="_Toc229570770"/>
      <w:r>
        <w:rPr>
          <w:shd w:val="clear" w:color="auto" w:fill="FFFFFF"/>
        </w:rPr>
        <w:t>Selección y adquisición de datos</w:t>
      </w:r>
      <w:bookmarkEnd w:id="10"/>
    </w:p>
    <w:p>
      <w:r>
        <w:t>La selección del dataset IEEE-CIS Fraud Detection (Howard et al., 2019) responde a cuatro criterios metodológicos: (1) representatividad —transacciones de e-commerce reales etiquetadas por Vesta Corporation—; (2) escala —590.540 transacciones de entrenamiento con 394 variables—; (3) desbalance extremo —3,50 % de fraude, ratio 27,6:1—; y (4) disponibilidad pública y trazabilidad científica al estar alojado en Kaggle.</w:t>
      </w:r>
    </w:p>
    <w:p>
      <w:r>
        <w:t>El dataset se estructura en cuatro archivos CSV: train_transaction.csv (590.540 filas × 394 columnas), train_identity.csv (144.233 filas × 41 columnas), test_transaction.csv (506.691 filas × 393 columnas) y test_identity.csv (141.907 filas × 41 columnas). La fusión mediante left join de transacciones con identidad produce el dataset combinado de entrenamiento: 590.540 × 434 columnas y 1.604,4 MB en memoria. El 76,2 % de las transacciones no tienen registro de identidad asociado, lo que constituye un patrón estructural importante: las transacciones anónimas son estadísticamente diferentes de las identificadas.</w:t>
      </w:r>
    </w:p>
    <w:p>
      <w:r>
        <w:t>La fase de reducción de memoria mediante conversión inteligente de tipos (float64 → float32, int64 → int32) reduce el consumo de 1.604 MB a aproximadamente 800 MB sin pérdida de información relevante para el modelado, haciendo viable el entrenamiento en el entorno local disponible.</w:t>
      </w:r>
    </w:p>
    <w:p w14:paraId="40684EBA" w14:textId="7CA10B23" w:rsidR="00BA1770" w:rsidRDefault="00BA1770" w:rsidP="00BA1770">
      <w:pPr>
        <w:pStyle w:val="Ttulo2"/>
        <w:rPr>
          <w:shd w:val="clear" w:color="auto" w:fill="FFFFFF"/>
        </w:rPr>
      </w:pPr>
      <w:bookmarkStart w:id="11" w:name="_Toc229570771"/>
      <w:r>
        <w:rPr>
          <w:shd w:val="clear" w:color="auto" w:fill="FFFFFF"/>
        </w:rPr>
        <w:t>Preprocesado y limpieza de datos</w:t>
      </w:r>
      <w:bookmarkEnd w:id="11"/>
    </w:p>
    <w:p>
      <w:r>
        <w:t>El análisis exploratorio (Etapa 2) caracteriza el dataset en cuatro dimensiones. En cuanto a tipos de datos: 399 columnas float32, 31 object, 3 int32 y 1 int8. En cuanto a valores nulos: 382 de las 434 columnas presentan algún nulo, con 208 columnas superando el 75 % de nulos —principalmente las columnas V del bloque V101–V339— y 12 columnas con más del 90 % de nulos (eliminadas en Etapa 3). Las columnas D presentan el mayor porcentaje promedio de nulos (58,15 %), seguidas del bloque M (49,92 %).</w:t>
      </w:r>
    </w:p>
    <w:p>
      <w:r>
        <w:t>La variable objetivo isFraud presenta una distribución fuertemente desbalanceada: 569.877 transacciones legítimas (96,50 %) frente a 20.663 fraudulentas (3,50 %), con un ratio de desbalance de 27,6:1. El análisis de tasa de fraude por ProductCD revela heterogeneidad: producto C presenta la mayor tasa con 11,69 %, seguido de S (5,90 %), H (4,77 %), R (3,78 %) y W (2,04 %).</w:t>
      </w:r>
    </w:p>
    <w:p>
      <w:r>
        <w:t>La partición estratificada train/validación (80/20) produce X_train con 472.432 filas y X_val con 118.108 filas, ambos con 713 columnas tras el preprocesado completo. La estratificación garantiza que la proporción de fraude (3,50 %) se mantiene en ambos conjuntos. La imputación de nulos se realiza mediante medianas del conjunto de entrenamiento, aplicadas tanto a X_train como a X_val y X_test para evitar fuga de información.</w:t>
      </w:r>
    </w:p>
    <w:p w14:paraId="1B2CDE43" w14:textId="23577B45" w:rsidR="00BA1770" w:rsidRDefault="00BA1770" w:rsidP="00BA1770">
      <w:pPr>
        <w:pStyle w:val="Ttulo2"/>
        <w:rPr>
          <w:shd w:val="clear" w:color="auto" w:fill="FFFFFF"/>
        </w:rPr>
      </w:pPr>
      <w:bookmarkStart w:id="12" w:name="_Toc229570772"/>
      <w:r>
        <w:rPr>
          <w:shd w:val="clear" w:color="auto" w:fill="FFFFFF"/>
        </w:rPr>
        <w:lastRenderedPageBreak/>
        <w:t>Transformación de datos e ingeniería de características</w:t>
      </w:r>
      <w:bookmarkEnd w:id="12"/>
    </w:p>
    <w:p>
      <w:r>
        <w:t>La ingeniería de características de la Parte I (Etapa 3) sigue una estrategia de enriquecimiento supervisado orientada a capturar comportamiento transaccional sin recurrir a identificadores de cliente. El pipeline aplica en secuencia: (1) eliminación de columnas con &gt;90 % nulos (−12 columnas); (2) creación de 284 flags binarios de presencia de nulo para columnas con &gt;10 % de nulos; (3) seis features de comportamiento: es_nocturna (transacción entre 23:00 y 6:00), card1_freq (frecuencia de card1), P_email_freq (frecuencia del dominio de email del pagador), amt_ratio_producto (importe relativo al promedio del ProductCD), log_TransactionAmt (transformación logarítmica del importe) y mismo_email (coincidencia entre dominio email pagador y receptor).</w:t>
      </w:r>
    </w:p>
    <w:p>
      <w:r>
        <w:t>La codificación de variables categóricas se realizó mediante LabelEncoder sobre las 2 columnas object presentes simultáneamente en train y test, con 13 columnas categóricas residuales (columnas id_) codificadas mediante LabelEncoder con asignación −1 a valores no vistos en validación. El resultado final es un dataset de 713 columnas: 394 numéricas originales, 284 flags de nulos, 29 categóricas codificadas y 6 features nuevas.</w:t>
      </w:r>
    </w:p>
    <w:p w14:paraId="104B4489" w14:textId="3290EBBA" w:rsidR="00BA1770" w:rsidRDefault="00BA1770" w:rsidP="00BA1770">
      <w:pPr>
        <w:pStyle w:val="Ttulo2"/>
        <w:rPr>
          <w:shd w:val="clear" w:color="auto" w:fill="FFFFFF"/>
        </w:rPr>
      </w:pPr>
      <w:bookmarkStart w:id="13" w:name="_Toc229570773"/>
      <w:r>
        <w:rPr>
          <w:shd w:val="clear" w:color="auto" w:fill="FFFFFF"/>
        </w:rPr>
        <w:t>Minería de datos y modelado predictivo</w:t>
      </w:r>
      <w:bookmarkEnd w:id="13"/>
    </w:p>
    <w:p>
      <w:r>
        <w:t>La Etapa 3 entrena cinco algoritmos base sobre X_train (472.432 transacciones × 713 features): Regresión Logística, Árbol de Decisión, Random Forest, XGBoost y LightGBM (Red Neuronal MLP incluida como referencia). La evaluación sobre X_val (118.108 transacciones) produce el ranking por AUC-ROC presentado en la Tabla E3.1.</w:t>
      </w:r>
    </w:p>
    <w:tbl>
      <w:tblPr>
        <w:tblStyle w:val="Tablaconestilo1"/>
        <w:tblW w:w="7600" w:type="dxa"/>
      </w:tblPr>
      <w:tblGrid>
        <w:gridCol w:w="2400"/>
        <w:gridCol w:w="1400"/>
        <w:gridCol w:w="1200"/>
        <w:gridCol w:w="1400"/>
        <w:gridCol w:w="1200"/>
      </w:tblGrid>
      <w:tr>
        <w:trPr>
          <w:tblHeader/>
        </w:trPr>
        <w:tc>
          <w:tcPr>
            <w:tcW w:w="2400" w:type="dxa"/>
          </w:tcPr>
          <w:p>
            <w:r>
              <w:rPr>
                <w:b/>
              </w:rPr>
              <w:t>Modelo</w:t>
            </w:r>
          </w:p>
        </w:tc>
        <w:tc>
          <w:tcPr>
            <w:tcW w:w="1400" w:type="dxa"/>
          </w:tcPr>
          <w:p>
            <w:r>
              <w:rPr>
                <w:b/>
              </w:rPr>
              <w:t>AUC-ROC</w:t>
            </w:r>
          </w:p>
        </w:tc>
        <w:tc>
          <w:tcPr>
            <w:tcW w:w="1200" w:type="dxa"/>
          </w:tcPr>
          <w:p>
            <w:r>
              <w:rPr>
                <w:b/>
              </w:rPr>
              <w:t>F1</w:t>
            </w:r>
          </w:p>
        </w:tc>
        <w:tc>
          <w:tcPr>
            <w:tcW w:w="1400" w:type="dxa"/>
          </w:tcPr>
          <w:p>
            <w:r>
              <w:rPr>
                <w:b/>
              </w:rPr>
              <w:t>Precisión</w:t>
            </w:r>
          </w:p>
        </w:tc>
        <w:tc>
          <w:tcPr>
            <w:tcW w:w="1200" w:type="dxa"/>
          </w:tcPr>
          <w:p>
            <w:r>
              <w:rPr>
                <w:b/>
              </w:rPr>
              <w:t>Recall</w:t>
            </w:r>
          </w:p>
        </w:tc>
      </w:tr>
      <w:tr>
        <w:tc>
          <w:tcPr>
            <w:tcW w:w="2400" w:type="dxa"/>
          </w:tcPr>
          <w:p>
            <w:r>
              <w:t>Random Forest</w:t>
            </w:r>
          </w:p>
        </w:tc>
        <w:tc>
          <w:tcPr>
            <w:tcW w:w="1400" w:type="dxa"/>
          </w:tcPr>
          <w:p>
            <w:r>
              <w:t>0,9376</w:t>
            </w:r>
          </w:p>
        </w:tc>
        <w:tc>
          <w:tcPr>
            <w:tcW w:w="1200" w:type="dxa"/>
          </w:tcPr>
          <w:p>
            <w:r>
              <w:t>0,5407</w:t>
            </w:r>
          </w:p>
        </w:tc>
        <w:tc>
          <w:tcPr>
            <w:tcW w:w="1400" w:type="dxa"/>
          </w:tcPr>
          <w:p>
            <w:r>
              <w:t>0,9512</w:t>
            </w:r>
          </w:p>
        </w:tc>
        <w:tc>
          <w:tcPr>
            <w:tcW w:w="1200" w:type="dxa"/>
          </w:tcPr>
          <w:p>
            <w:r>
              <w:t>0,3777</w:t>
            </w:r>
          </w:p>
        </w:tc>
      </w:tr>
      <w:tr>
        <w:tc>
          <w:tcPr>
            <w:tcW w:w="2400" w:type="dxa"/>
          </w:tcPr>
          <w:p>
            <w:r>
              <w:t>XGBoost</w:t>
            </w:r>
          </w:p>
        </w:tc>
        <w:tc>
          <w:tcPr>
            <w:tcW w:w="1400" w:type="dxa"/>
          </w:tcPr>
          <w:p>
            <w:r>
              <w:t>0,9325</w:t>
            </w:r>
          </w:p>
        </w:tc>
        <w:tc>
          <w:tcPr>
            <w:tcW w:w="1200" w:type="dxa"/>
          </w:tcPr>
          <w:p>
            <w:r>
              <w:t>0,3280</w:t>
            </w:r>
          </w:p>
        </w:tc>
        <w:tc>
          <w:tcPr>
            <w:tcW w:w="1400" w:type="dxa"/>
          </w:tcPr>
          <w:p>
            <w:r>
              <w:t>0,2041</w:t>
            </w:r>
          </w:p>
        </w:tc>
        <w:tc>
          <w:tcPr>
            <w:tcW w:w="1200" w:type="dxa"/>
          </w:tcPr>
          <w:p>
            <w:r>
              <w:t>0,8360</w:t>
            </w:r>
          </w:p>
        </w:tc>
      </w:tr>
      <w:tr>
        <w:tc>
          <w:tcPr>
            <w:tcW w:w="2400" w:type="dxa"/>
          </w:tcPr>
          <w:p>
            <w:r>
              <w:t>LightGBM</w:t>
            </w:r>
          </w:p>
        </w:tc>
        <w:tc>
          <w:tcPr>
            <w:tcW w:w="1400" w:type="dxa"/>
          </w:tcPr>
          <w:p>
            <w:r>
              <w:t>0,9275</w:t>
            </w:r>
          </w:p>
        </w:tc>
        <w:tc>
          <w:tcPr>
            <w:tcW w:w="1200" w:type="dxa"/>
          </w:tcPr>
          <w:p>
            <w:r>
              <w:t>0,2355</w:t>
            </w:r>
          </w:p>
        </w:tc>
        <w:tc>
          <w:tcPr>
            <w:tcW w:w="1400" w:type="dxa"/>
          </w:tcPr>
          <w:p>
            <w:r>
              <w:t>0,1359</w:t>
            </w:r>
          </w:p>
        </w:tc>
        <w:tc>
          <w:tcPr>
            <w:tcW w:w="1200" w:type="dxa"/>
          </w:tcPr>
          <w:p>
            <w:r>
              <w:t>0,8810</w:t>
            </w:r>
          </w:p>
        </w:tc>
      </w:tr>
      <w:tr>
        <w:tc>
          <w:tcPr>
            <w:tcW w:w="2400" w:type="dxa"/>
          </w:tcPr>
          <w:p>
            <w:r>
              <w:t>Regresión Logística</w:t>
            </w:r>
          </w:p>
        </w:tc>
        <w:tc>
          <w:tcPr>
            <w:tcW w:w="1400" w:type="dxa"/>
          </w:tcPr>
          <w:p>
            <w:r>
              <w:t>0,7261</w:t>
            </w:r>
          </w:p>
        </w:tc>
        <w:tc>
          <w:tcPr>
            <w:tcW w:w="1200" w:type="dxa"/>
          </w:tcPr>
          <w:p>
            <w:r>
              <w:t>0,1326</w:t>
            </w:r>
          </w:p>
        </w:tc>
        <w:tc>
          <w:tcPr>
            <w:tcW w:w="1400" w:type="dxa"/>
          </w:tcPr>
          <w:p>
            <w:r>
              <w:t>0,0749</w:t>
            </w:r>
          </w:p>
        </w:tc>
        <w:tc>
          <w:tcPr>
            <w:tcW w:w="1200" w:type="dxa"/>
          </w:tcPr>
          <w:p>
            <w:r>
              <w:t>0,5792</w:t>
            </w:r>
          </w:p>
        </w:tc>
      </w:tr>
      <w:tr>
        <w:tc>
          <w:tcPr>
            <w:tcW w:w="2400" w:type="dxa"/>
          </w:tcPr>
          <w:p>
            <w:r>
              <w:t>Red Neuronal MLP</w:t>
            </w:r>
          </w:p>
        </w:tc>
        <w:tc>
          <w:tcPr>
            <w:tcW w:w="1400" w:type="dxa"/>
          </w:tcPr>
          <w:p>
            <w:r>
              <w:t>0,5001</w:t>
            </w:r>
          </w:p>
        </w:tc>
        <w:tc>
          <w:tcPr>
            <w:tcW w:w="1200" w:type="dxa"/>
          </w:tcPr>
          <w:p>
            <w:r>
              <w:t>0,0000</w:t>
            </w:r>
          </w:p>
        </w:tc>
        <w:tc>
          <w:tcPr>
            <w:tcW w:w="1400" w:type="dxa"/>
          </w:tcPr>
          <w:p>
            <w:r>
              <w:t>—</w:t>
            </w:r>
          </w:p>
        </w:tc>
        <w:tc>
          <w:tcPr>
            <w:tcW w:w="1200" w:type="dxa"/>
          </w:tcPr>
          <w:p>
            <w:r>
              <w:t>0,0000</w:t>
            </w:r>
          </w:p>
        </w:tc>
      </w:tr>
    </w:tbl>
    <w:p>
      <w:r>
        <w:t>Tabla E3.1. Comparativa de modelos base — Etapa 3 (sin optimización, umbral=0,5). Fuente: Elaboración propia.</w:t>
      </w:r>
    </w:p>
    <w:p>
      <w:r>
        <w:t>La Etapa 4 aplica RandomizedSearchCV (k=3, n_iter=15, submuestra 30 %) sobre Random Forest, XGBoost y LightGBM, buscando el umbral óptimo que maximiza el F1-score en [0,10, 0,90]. LightGBM emerge como modelo ganador con la mayor mejora absoluta: AUC 0,9275 → 0,9680 (+0,0405) y F1 0,2355 → 0,7856 (+0,5501) al ajustar el umbral de 0,5 a 0,89. La tabla siguiente resume la comparativa completa:</w:t>
      </w:r>
    </w:p>
    <w:tbl>
      <w:tblPr>
        <w:tblStyle w:val="Tablaconestilo1"/>
        <w:tblW w:w="8700" w:type="dxa"/>
      </w:tblPr>
      <w:tblGrid>
        <w:gridCol w:w="2200"/>
        <w:gridCol w:w="1400"/>
        <w:gridCol w:w="1400"/>
        <w:gridCol w:w="1200"/>
        <w:gridCol w:w="1400"/>
        <w:gridCol w:w="1100"/>
      </w:tblGrid>
      <w:tr>
        <w:trPr>
          <w:tblHeader/>
        </w:trPr>
        <w:tc>
          <w:tcPr>
            <w:tcW w:w="2200" w:type="dxa"/>
          </w:tcPr>
          <w:p>
            <w:r>
              <w:rPr>
                <w:b/>
              </w:rPr>
              <w:t>Modelo</w:t>
            </w:r>
          </w:p>
        </w:tc>
        <w:tc>
          <w:tcPr>
            <w:tcW w:w="1400" w:type="dxa"/>
          </w:tcPr>
          <w:p>
            <w:r>
              <w:rPr>
                <w:b/>
              </w:rPr>
              <w:t>AUC base</w:t>
            </w:r>
          </w:p>
        </w:tc>
        <w:tc>
          <w:tcPr>
            <w:tcW w:w="1400" w:type="dxa"/>
          </w:tcPr>
          <w:p>
            <w:r>
              <w:rPr>
                <w:b/>
              </w:rPr>
              <w:t>AUC opt.</w:t>
            </w:r>
          </w:p>
        </w:tc>
        <w:tc>
          <w:tcPr>
            <w:tcW w:w="1200" w:type="dxa"/>
          </w:tcPr>
          <w:p>
            <w:r>
              <w:rPr>
                <w:b/>
              </w:rPr>
              <w:t>ΔAUC</w:t>
            </w:r>
          </w:p>
        </w:tc>
        <w:tc>
          <w:tcPr>
            <w:tcW w:w="1400" w:type="dxa"/>
          </w:tcPr>
          <w:p>
            <w:r>
              <w:rPr>
                <w:b/>
              </w:rPr>
              <w:t>F1 opt.</w:t>
            </w:r>
          </w:p>
        </w:tc>
        <w:tc>
          <w:tcPr>
            <w:tcW w:w="1100" w:type="dxa"/>
          </w:tcPr>
          <w:p>
            <w:r>
              <w:rPr>
                <w:b/>
              </w:rPr>
              <w:t>Umbral</w:t>
            </w:r>
          </w:p>
        </w:tc>
      </w:tr>
      <w:tr>
        <w:tc>
          <w:tcPr>
            <w:tcW w:w="2200" w:type="dxa"/>
          </w:tcPr>
          <w:p>
            <w:r>
              <w:t>LightGBM</w:t>
            </w:r>
          </w:p>
        </w:tc>
        <w:tc>
          <w:tcPr>
            <w:tcW w:w="1400" w:type="dxa"/>
          </w:tcPr>
          <w:p>
            <w:r>
              <w:t>0,9275</w:t>
            </w:r>
          </w:p>
        </w:tc>
        <w:tc>
          <w:tcPr>
            <w:tcW w:w="1400" w:type="dxa"/>
          </w:tcPr>
          <w:p>
            <w:r>
              <w:t>0,9680</w:t>
            </w:r>
          </w:p>
        </w:tc>
        <w:tc>
          <w:tcPr>
            <w:tcW w:w="1200" w:type="dxa"/>
          </w:tcPr>
          <w:p>
            <w:r>
              <w:t>+0,0405</w:t>
            </w:r>
          </w:p>
        </w:tc>
        <w:tc>
          <w:tcPr>
            <w:tcW w:w="1400" w:type="dxa"/>
          </w:tcPr>
          <w:p>
            <w:r>
              <w:t>0,7856</w:t>
            </w:r>
          </w:p>
        </w:tc>
        <w:tc>
          <w:tcPr>
            <w:tcW w:w="1100" w:type="dxa"/>
          </w:tcPr>
          <w:p>
            <w:r>
              <w:t>0,89</w:t>
            </w:r>
          </w:p>
        </w:tc>
      </w:tr>
      <w:tr>
        <w:tc>
          <w:tcPr>
            <w:tcW w:w="2200" w:type="dxa"/>
          </w:tcPr>
          <w:p>
            <w:r>
              <w:t>XGBoost</w:t>
            </w:r>
          </w:p>
        </w:tc>
        <w:tc>
          <w:tcPr>
            <w:tcW w:w="1400" w:type="dxa"/>
          </w:tcPr>
          <w:p>
            <w:r>
              <w:t>0,9325</w:t>
            </w:r>
          </w:p>
        </w:tc>
        <w:tc>
          <w:tcPr>
            <w:tcW w:w="1400" w:type="dxa"/>
          </w:tcPr>
          <w:p>
            <w:r>
              <w:t>0,9541</w:t>
            </w:r>
          </w:p>
        </w:tc>
        <w:tc>
          <w:tcPr>
            <w:tcW w:w="1200" w:type="dxa"/>
          </w:tcPr>
          <w:p>
            <w:r>
              <w:t>+0,0216</w:t>
            </w:r>
          </w:p>
        </w:tc>
        <w:tc>
          <w:tcPr>
            <w:tcW w:w="1400" w:type="dxa"/>
          </w:tcPr>
          <w:p>
            <w:r>
              <w:t>0,6727</w:t>
            </w:r>
          </w:p>
        </w:tc>
        <w:tc>
          <w:tcPr>
            <w:tcW w:w="1100" w:type="dxa"/>
          </w:tcPr>
          <w:p>
            <w:r>
              <w:t>0,82</w:t>
            </w:r>
          </w:p>
        </w:tc>
      </w:tr>
      <w:tr>
        <w:tc>
          <w:tcPr>
            <w:tcW w:w="2200" w:type="dxa"/>
          </w:tcPr>
          <w:p>
            <w:r>
              <w:t>Random Forest</w:t>
            </w:r>
          </w:p>
        </w:tc>
        <w:tc>
          <w:tcPr>
            <w:tcW w:w="1400" w:type="dxa"/>
          </w:tcPr>
          <w:p>
            <w:r>
              <w:t>0,9376</w:t>
            </w:r>
          </w:p>
        </w:tc>
        <w:tc>
          <w:tcPr>
            <w:tcW w:w="1400" w:type="dxa"/>
          </w:tcPr>
          <w:p>
            <w:r>
              <w:t>0,9278</w:t>
            </w:r>
          </w:p>
        </w:tc>
        <w:tc>
          <w:tcPr>
            <w:tcW w:w="1200" w:type="dxa"/>
          </w:tcPr>
          <w:p>
            <w:r>
              <w:t>−0,0098</w:t>
            </w:r>
          </w:p>
        </w:tc>
        <w:tc>
          <w:tcPr>
            <w:tcW w:w="1400" w:type="dxa"/>
          </w:tcPr>
          <w:p>
            <w:r>
              <w:t>0,6047</w:t>
            </w:r>
          </w:p>
        </w:tc>
        <w:tc>
          <w:tcPr>
            <w:tcW w:w="1100" w:type="dxa"/>
          </w:tcPr>
          <w:p>
            <w:r>
              <w:t>—</w:t>
            </w:r>
          </w:p>
        </w:tc>
      </w:tr>
    </w:tbl>
    <w:p>
      <w:r>
        <w:t>Tabla E4.1. Comparativa modelos optimizados — Etapa 4 (RandomizedSearchCV, umbral óptimo). Fuente: Elaboración propia.</w:t>
      </w:r>
    </w:p>
    <w:p>
      <w:r>
        <w:t>La Etapa 5 aplica SMOTE al conjunto de entrenamiento, generando 455.902 instancias sintéticas de fraude (tiempo: 0,3 min) y alcanzando un ratio 1:1 entre clases. El reentrenamiento de LightGBM sobre el dataset balanceado produce una mejora marginal en AUC (0,9680 → 0,9696, +0,0016), con ligera degradación en F1 (0,7856 → 0,7787) y Precisión (0,8797 → 0,8606). Dado que la mejora en AUC es mínima y las métricas de clasificación son ligeramente inferiores, el modelo seleccionado para la submission de la Parte I es el LightGBM optimizado de la Etapa 4 (sin SMOTE).</w:t>
      </w:r>
    </w:p>
    <w:p>
      <w:r>
        <w:t>La Etapa 6 genera las predicciones finales sobre X_test_kaggle (506.691 transacciones). La distribución de probabilidades predichas presenta media 0,1661, mediana 0,0495 y rango [0,0000–1,0000], con el 50 % de las transacciones por debajo del 5 % de probabilidad de fraude. Con el umbral óptimo de 0,89, el modelo clasifica 14.045 transacciones como fraude (2,77 %). El archivo submission.csv enviado a Kaggle obtuvo Public Score 0,9067 y Private Score 0,8545 (Figura 9). La brecha gap de 0,1135 entre AUC local (0,9680) y score privado Kaggle (0,8545) indica presencia de temporal distribution shift, motivando la Parte II del TFM.</w:t>
      </w:r>
    </w:p>
    <w:p w14:paraId="1CD2C620" w14:textId="63AC4615" w:rsidR="00CE0B41" w:rsidRPr="0060240E" w:rsidRDefault="00CE0B41" w:rsidP="00234270">
      <w:pPr>
        <w:pStyle w:val="Ttulo1"/>
      </w:pPr>
      <w:bookmarkStart w:id="14" w:name="_Toc229570774"/>
      <w:r>
        <w:lastRenderedPageBreak/>
        <w:t>Discusión</w:t>
      </w:r>
      <w:bookmarkEnd w:id="14"/>
    </w:p>
    <w:p>
      <w:r>
        <w:t>El presente trabajo ha desarrollado un sistema de detección de fraude en e-commerce siguiendo un pipeline incremental de diez etapas, avanzando desde una línea base transaccional hasta técnicas avanzadas de ensemble y post-procesamiento. Los resultados acumulados permiten extraer conclusiones sobre el impacto diferencial de cada decisión técnica y su validación externa mediante el leaderboard oficial de la competición IEEE-CIS (Kaggle, 2019).</w:t>
      </w:r>
    </w:p>
    <w:p>
      <w:pPr>
        <w:pStyle w:val="Heading4"/>
      </w:pPr>
      <w:r>
        <w:t>5.1 Progresión del rendimiento a lo largo del pipeline</w:t>
      </w:r>
    </w:p>
    <w:tbl>
      <w:tblPr>
        <w:tblStyle w:val="Tablaconestilo1"/>
        <w:tblW w:w="9100" w:type="dxa"/>
      </w:tblPr>
      <w:tblGrid>
        <w:gridCol w:w="2800"/>
        <w:gridCol w:w="1800"/>
        <w:gridCol w:w="1400"/>
        <w:gridCol w:w="1400"/>
        <w:gridCol w:w="1700"/>
      </w:tblGrid>
      <w:tr>
        <w:trPr>
          <w:tblHeader/>
        </w:trPr>
        <w:tc>
          <w:tcPr>
            <w:tcW w:w="2800" w:type="dxa"/>
          </w:tcPr>
          <w:p>
            <w:r>
              <w:rPr>
                <w:b/>
              </w:rPr>
              <w:t>Etapa / Sistema</w:t>
            </w:r>
          </w:p>
        </w:tc>
        <w:tc>
          <w:tcPr>
            <w:tcW w:w="1800" w:type="dxa"/>
          </w:tcPr>
          <w:p>
            <w:r>
              <w:rPr>
                <w:b/>
              </w:rPr>
              <w:t>AUC local (OOF)</w:t>
            </w:r>
          </w:p>
        </w:tc>
        <w:tc>
          <w:tcPr>
            <w:tcW w:w="1400" w:type="dxa"/>
          </w:tcPr>
          <w:p>
            <w:r>
              <w:rPr>
                <w:b/>
              </w:rPr>
              <w:t>Kaggle Público</w:t>
            </w:r>
          </w:p>
        </w:tc>
        <w:tc>
          <w:tcPr>
            <w:tcW w:w="1400" w:type="dxa"/>
          </w:tcPr>
          <w:p>
            <w:r>
              <w:rPr>
                <w:b/>
              </w:rPr>
              <w:t>Kaggle Privado</w:t>
            </w:r>
          </w:p>
        </w:tc>
        <w:tc>
          <w:tcPr>
            <w:tcW w:w="1700" w:type="dxa"/>
          </w:tcPr>
          <w:p>
            <w:r>
              <w:rPr>
                <w:b/>
              </w:rPr>
              <w:t>Gap local−privado</w:t>
            </w:r>
          </w:p>
        </w:tc>
      </w:tr>
      <w:tr>
        <w:tc>
          <w:tcPr>
            <w:tcW w:w="2800" w:type="dxa"/>
          </w:tcPr>
          <w:p>
            <w:r>
              <w:t>Parte I — LightGBM opt.</w:t>
            </w:r>
          </w:p>
        </w:tc>
        <w:tc>
          <w:tcPr>
            <w:tcW w:w="1800" w:type="dxa"/>
          </w:tcPr>
          <w:p>
            <w:r>
              <w:t>0,9680 (StratifiedKF)</w:t>
            </w:r>
          </w:p>
        </w:tc>
        <w:tc>
          <w:tcPr>
            <w:tcW w:w="1400" w:type="dxa"/>
          </w:tcPr>
          <w:p>
            <w:r>
              <w:t>0,9067</w:t>
            </w:r>
          </w:p>
        </w:tc>
        <w:tc>
          <w:tcPr>
            <w:tcW w:w="1400" w:type="dxa"/>
          </w:tcPr>
          <w:p>
            <w:r>
              <w:t>0,8545</w:t>
            </w:r>
          </w:p>
        </w:tc>
        <w:tc>
          <w:tcPr>
            <w:tcW w:w="1700" w:type="dxa"/>
          </w:tcPr>
          <w:p>
            <w:r>
              <w:t>0,1135</w:t>
            </w:r>
          </w:p>
        </w:tc>
      </w:tr>
      <w:tr>
        <w:tc>
          <w:tcPr>
            <w:tcW w:w="2800" w:type="dxa"/>
          </w:tcPr>
          <w:p>
            <w:r>
              <w:t>E7 — LightGBM + UID + GroupKFold</w:t>
            </w:r>
          </w:p>
        </w:tc>
        <w:tc>
          <w:tcPr>
            <w:tcW w:w="1800" w:type="dxa"/>
          </w:tcPr>
          <w:p>
            <w:r>
              <w:t>0,9514 (GroupKFold)</w:t>
            </w:r>
          </w:p>
        </w:tc>
        <w:tc>
          <w:tcPr>
            <w:tcW w:w="1400" w:type="dxa"/>
          </w:tcPr>
          <w:p>
            <w:r>
              <w:t>0,9554</w:t>
            </w:r>
          </w:p>
        </w:tc>
        <w:tc>
          <w:tcPr>
            <w:tcW w:w="1400" w:type="dxa"/>
          </w:tcPr>
          <w:p>
            <w:r>
              <w:t>0,9254</w:t>
            </w:r>
          </w:p>
        </w:tc>
        <w:tc>
          <w:tcPr>
            <w:tcW w:w="1700" w:type="dxa"/>
          </w:tcPr>
          <w:p>
            <w:r>
              <w:t>0,0260</w:t>
            </w:r>
          </w:p>
        </w:tc>
      </w:tr>
      <w:tr>
        <w:tc>
          <w:tcPr>
            <w:tcW w:w="2800" w:type="dxa"/>
          </w:tcPr>
          <w:p>
            <w:r>
              <w:t>E8 — Features limpias (adv. valid.)</w:t>
            </w:r>
          </w:p>
        </w:tc>
        <w:tc>
          <w:tcPr>
            <w:tcW w:w="1800" w:type="dxa"/>
          </w:tcPr>
          <w:p>
            <w:r>
              <w:t>0,9453 (GroupKFold)</w:t>
            </w:r>
          </w:p>
        </w:tc>
        <w:tc>
          <w:tcPr>
            <w:tcW w:w="1400" w:type="dxa"/>
          </w:tcPr>
          <w:p>
            <w:r>
              <w:t>0,9508</w:t>
            </w:r>
          </w:p>
        </w:tc>
        <w:tc>
          <w:tcPr>
            <w:tcW w:w="1400" w:type="dxa"/>
          </w:tcPr>
          <w:p>
            <w:r>
              <w:t>0,9205</w:t>
            </w:r>
          </w:p>
        </w:tc>
        <w:tc>
          <w:tcPr>
            <w:tcW w:w="1700" w:type="dxa"/>
          </w:tcPr>
          <w:p>
            <w:r>
              <w:t>0,0248</w:t>
            </w:r>
          </w:p>
        </w:tc>
      </w:tr>
      <w:tr>
        <w:tc>
          <w:tcPr>
            <w:tcW w:w="2800" w:type="dxa"/>
          </w:tcPr>
          <w:p>
            <w:r>
              <w:t>E9 — Ensemble LGB+XGB + UID</w:t>
            </w:r>
          </w:p>
        </w:tc>
        <w:tc>
          <w:tcPr>
            <w:tcW w:w="1800" w:type="dxa"/>
          </w:tcPr>
          <w:p>
            <w:r>
              <w:t>0,9517 (GroupKFold)</w:t>
            </w:r>
          </w:p>
        </w:tc>
        <w:tc>
          <w:tcPr>
            <w:tcW w:w="1400" w:type="dxa"/>
          </w:tcPr>
          <w:p>
            <w:r>
              <w:t>0,9554</w:t>
            </w:r>
          </w:p>
        </w:tc>
        <w:tc>
          <w:tcPr>
            <w:tcW w:w="1400" w:type="dxa"/>
          </w:tcPr>
          <w:p>
            <w:r>
              <w:t>0,9254</w:t>
            </w:r>
          </w:p>
        </w:tc>
        <w:tc>
          <w:tcPr>
            <w:tcW w:w="1700" w:type="dxa"/>
          </w:tcPr>
          <w:p>
            <w:r>
              <w:t>0,0263</w:t>
            </w:r>
          </w:p>
        </w:tc>
      </w:tr>
      <w:tr>
        <w:tc>
          <w:tcPr>
            <w:tcW w:w="2800" w:type="dxa"/>
          </w:tcPr>
          <w:p>
            <w:r>
              <w:t>E10 — UIDs múltiples + seed avg.</w:t>
            </w:r>
          </w:p>
        </w:tc>
        <w:tc>
          <w:tcPr>
            <w:tcW w:w="1800" w:type="dxa"/>
          </w:tcPr>
          <w:p>
            <w:r>
              <w:t>0,9513 (GroupKFold)</w:t>
            </w:r>
          </w:p>
        </w:tc>
        <w:tc>
          <w:tcPr>
            <w:tcW w:w="1400" w:type="dxa"/>
          </w:tcPr>
          <w:p>
            <w:r>
              <w:t>0,9549</w:t>
            </w:r>
          </w:p>
        </w:tc>
        <w:tc>
          <w:tcPr>
            <w:tcW w:w="1400" w:type="dxa"/>
          </w:tcPr>
          <w:p>
            <w:r>
              <w:t>0,9249</w:t>
            </w:r>
          </w:p>
        </w:tc>
        <w:tc>
          <w:tcPr>
            <w:tcW w:w="1700" w:type="dxa"/>
          </w:tcPr>
          <w:p>
            <w:r>
              <w:t>0,0264</w:t>
            </w:r>
          </w:p>
        </w:tc>
      </w:tr>
    </w:tbl>
    <w:p>
      <w:r>
        <w:t>Tabla D1. Progresión del rendimiento a lo largo del pipeline incremental. Fuente: Elaboración propia. Kaggle público: 20 % del test; privado: 80 % restante. ⏳ = pendiente de ejecución y submission.</w:t>
      </w:r>
    </w:p>
    <w:p>
      <w:pPr>
        <w:pStyle w:val="Heading4"/>
      </w:pPr>
      <w:r>
        <w:t>5.2 El identificador único de cliente como factor diferencial</w:t>
      </w:r>
    </w:p>
    <w:p>
      <w:r>
        <w:t>El resultado más significativo del pipeline es la construcción del identificador único de cliente (UID = card1_addr1 + día_inicio_relación), que explica el salto de 0,8545 a 0,9254 en AUC-ROC privado (+0,0709). Este avance confirma la hipótesis central del trabajo: el problema IEEE-CIS no es un problema puramente transaccional, sino un problema de reconocimiento del comportamiento de clientes conocidos. Cuando el modelo puede identificar al cliente a través de su historial (47 features de agregación sobre el UID), la discriminación mejora sustancialmente y el gap de generalización se reduce en un 77,1 % (de 0,1135 a 0,0260).</w:t>
      </w:r>
    </w:p>
    <w:p>
      <w:r>
        <w:t>La validación temporal GroupKFold refuerza este resultado al eliminar la fuga de información temporal: los seis folds, organizados por mes de transacción, producen AUCs entre 0,9211 y 0,9675, con el fold 1 (mes más antiguo, menor historial de UIDs) como outlier inferior. La coherencia de los folds 2–6 (rango 0,9481–0,9675) confirma la estabilidad del modelo ante distintas ventanas temporales.</w:t>
      </w:r>
    </w:p>
    <w:p>
      <w:pPr>
        <w:pStyle w:val="Heading4"/>
      </w:pPr>
      <w:r>
        <w:t>5.3 Validación adversarial y selección de features (Etapa 8)</w:t>
      </w:r>
    </w:p>
    <w:p>
      <w:r>
        <w:t>La validación adversarial (Etapa 8) cuantificó el covariate shift temporal con un AUC adversarial inicial de 0,999 (prácticamente perfecto), lo que significa que un clasificador simple puede distinguir entre transacciones de entrenamiento y test con casi total certeza. Las features más adversariales son las columnas D (D1, D15, D10, D11, D2, D4) y variables temporales derivadas. Tras la eliminación de features adversariales (umbral AUC adversarial &gt; 0,90), el AUC adversarial se reduce a 0,620, confirmando la efectividad del proceso de limpieza.</w:t>
      </w:r>
    </w:p>
    <w:p>
      <w:r>
        <w:t>Sin embargo, el modelo entrenado con features limpias (Etapa 8) obtiene un score privado de 0,9205 frente al 0,9254 de Etapa 7, una reducción de −0,0049 puntos. Este resultado ilustra la tensión entre reducción del covariate shift y pérdida de señal predictiva: las columnas D, aunque temporalmente inconsistentes, contienen información de comportamiento del cliente que el modelo aprovecha. El gap mejora marginalmente (0,0260 → 0,0248), pero no suficientemente para compensar la pérdida de rendimiento absoluto.</w:t>
      </w:r>
    </w:p>
    <w:p>
      <w:pPr>
        <w:pStyle w:val="Heading4"/>
      </w:pPr>
      <w:r>
        <w:t>5.4 Ensemble y post-procesamiento (Etapa 9)</w:t>
      </w:r>
    </w:p>
    <w:p>
      <w:r>
        <w:t>El ensemble LightGBM + XGBoost (Etapa 9) alcanza pesos óptimos w_LGB = 0,95 / w_XGB = 0,05, reflejando la alta correlación entre ambos modelos (r = 0,8817). La diversidad estructural limitada —ambos modelos son gradient boosting sobre el mismo conjunto de features— impide el complemento sinérgico que se observa en ensembles de modelos radicalmente diferentes. El post-procesamiento UID (alpha óptimo = 0,05) confirma la señal del comportamiento por cliente, aunque su impacto marginal (AUC OOF 0,9512 → 0,9517, +0,0005) indica que el efecto ya estaba mayoritariamente capturado por las features de agregación de Etapa 7.</w:t>
      </w:r>
    </w:p>
    <w:p>
      <w:r>
        <w:t>El score Kaggle del ensemble (Público 0,9554, Privado 0,9254) es idéntico al de Etapa 7, confirmando que la adición de XGBoost no aporta mejora real al score privado. Esto es consistente con la alta correlación OOF y sugiere que para mejorar el ensemble se necesitarían modelos estructuralmente distintos (p.ej., redes neuronales o modelos basados en grafos).</w:t>
      </w:r>
    </w:p>
    <w:p>
      <w:r>
        <w:t>La Etapa 10 (UIDs múltiples + seed averaging) produce un score privado de 0,9249, marginalmente inferior a Etapa 9 (−0,0006). Esto confirma que el límite de información extraíble con el enfoque tabular LightGBM fue alcanzado en Etapa 7 y que las mejoras posteriores (E9, E10) aportan variaciones dentro del margen de ruido estadístico del leaderboard. La varianza entre seeds es mínima (&lt; 0,001 AUC), lo que refleja la alta estabilidad del modelo y sugiere que los 3 seeds no aportan diversidad de predicción suficiente para reducir la varianza del ensemble.</w:t>
      </w:r>
    </w:p>
    <w:p>
      <w:pPr>
        <w:pStyle w:val="Heading4"/>
      </w:pPr>
      <w:r>
        <w:t>5.5 Contextualización de resultados: condiciones del estudio frente al escenario competitivo</w:t>
      </w:r>
    </w:p>
    <w:p>
      <w:r>
        <w:t>Los resultados obtenidos en este trabajo deben interpretarse en su contexto real de producción: un investigador individual, sin infraestructura dedicada, trabajando en un plazo acotado. Esta contextualización es metodológicamente necesaria porque la competición IEEE-CIS Fraud Detection fue disputada en condiciones radicalmente diferentes, y comprender esa brecha permite valorar con precisión el alcance real del trabajo realizado.</w:t>
      </w:r>
    </w:p>
    <w:p>
      <w:pPr>
        <w:pStyle w:val="Heading4"/>
      </w:pPr>
      <w:r>
        <w:t>El escenario competitivo de referencia</w:t>
      </w:r>
    </w:p>
    <w:p>
      <w:r>
        <w:t>La competición IEEE-CIS Fraud Detection se desarrolló entre julio y octubre de 2019, con una duración activa de aproximadamente tres meses. Durante ese período participaron cerca de 6.000 equipos a nivel mundial, muchos de ellos integrados por Kaggle Grandmasters y Masters —las categorías más altas del sistema de ranking de Kaggle, que acreditan años de experiencia en competiciones de Machine Learning de alto nivel. Las soluciones ganadoras comparten un perfil característico que las distingue estructuralmente de un proyecto académico individual:</w:t>
      </w:r>
    </w:p>
    <w:p>
      <w:r>
        <w:t>Trabajo en equipo y dedicación exclusiva. Las soluciones en los primeros 25 puestos fueron desarrolladas, en la mayoría de los casos, por equipos de 2 a 5 investigadores o profesionales trabajando a tiempo completo durante los tres meses de competición. Esto equivale a un esfuerzo acumulado de entre 6 y 15 personas-mes de trabajo especializado, con ciclos de experimentación que se medían en horas, no en días.</w:t>
      </w:r>
    </w:p>
    <w:p>
      <w:r>
        <w:t>Infraestructura computacional dedicada. Las soluciones top utilizaron entornos de computación en la nube con GPU de alta gama (NVIDIA Tesla V100 o A100, con 16–80 GB de VRAM). Esto reduce el tiempo de entrenamiento de un modelo LightGBM completo (GroupKFold × 6) de 17–25 minutos en CPU local a 2–4 minutos en GPU. Un modelo CatBoost o una red neuronal tabular que en el hardware local de este trabajo requeriría 3–4 horas, en GPU se entrena en 15–20 minutos. La velocidad de iteración resultante es cualitativamente diferente: donde este trabajo podía ejecutar 2–3 experimentos por sesión, un equipo con GPU podía ejecutar 20–30 en el mismo tiempo.</w:t>
      </w:r>
    </w:p>
    <w:p>
      <w:r>
        <w:t>Años de experiencia en el dominio competitivo. Los participantes en el top-25 de esta competición habían participado previamente en decenas de competiciones similares en Kaggle, acumulando un conocimiento tácito sobre qué features funcionan en problemas de fraude financiero, qué hiperparámetros explorar primero, y qué patrones de leakage temporal evitar o aprovechar. Ese capital de experiencia no es replicable en el contexto de un TFM de Máster, independientemente de la calidad del trabajo realizado.</w:t>
      </w:r>
    </w:p>
    <w:p>
      <w:r>
        <w:t>Acceso a técnicas de extracción de señal del conjunto de test. Varias soluciones en el top-25 utilizaron frecuencias calculadas sobre la unión de train y test para el encoding de variables categóricas, incorporando así información estadística del conjunto de test en el entrenamiento. En el contexto de una competición cerrada, esta técnica es válida según las reglas de Kaggle; en un entorno de producción real —o en un trabajo académico con rigor metodológico— constituye una forma de fuga de información que este trabajo evitó deliberadamente.</w:t>
      </w:r>
    </w:p>
    <w:tbl>
      <w:tblPr>
        <w:tblStyle w:val="Tablaconestilo1"/>
        <w:tblW w:w="8400" w:type="dxa"/>
      </w:tblPr>
      <w:tblGrid>
        <w:gridCol w:w="2000"/>
        <w:gridCol w:w="3200"/>
        <w:gridCol w:w="3200"/>
      </w:tblGrid>
      <w:tr>
        <w:tc>
          <w:tcPr>
            <w:tcW w:w="2000" w:type="dxa"/>
          </w:tcPr>
          <w:p>
            <w:r>
              <w:rPr>
                <w:b/>
              </w:rPr>
              <w:t>Dimensión</w:t>
            </w:r>
          </w:p>
        </w:tc>
        <w:tc>
          <w:tcPr>
            <w:tcW w:w="3200" w:type="dxa"/>
          </w:tcPr>
          <w:p>
            <w:r>
              <w:rPr>
                <w:b/>
              </w:rPr>
              <w:t>Soluciones top-25 (competición)</w:t>
            </w:r>
          </w:p>
        </w:tc>
        <w:tc>
          <w:tcPr>
            <w:tcW w:w="3200" w:type="dxa"/>
          </w:tcPr>
          <w:p>
            <w:r>
              <w:rPr>
                <w:b/>
              </w:rPr>
              <w:t>Este trabajo (TFM)</w:t>
            </w:r>
          </w:p>
        </w:tc>
      </w:tr>
      <w:tr>
        <w:tc>
          <w:tcPr>
            <w:tcW w:w="2000" w:type="dxa"/>
          </w:tcPr>
          <w:p>
            <w:r>
              <w:t>Equipo</w:t>
            </w:r>
          </w:p>
        </w:tc>
        <w:tc>
          <w:tcPr>
            <w:tcW w:w="3200" w:type="dxa"/>
          </w:tcPr>
          <w:p>
            <w:r>
              <w:t>2–5 personas especializadas</w:t>
            </w:r>
          </w:p>
        </w:tc>
        <w:tc>
          <w:tcPr>
            <w:tcW w:w="3200" w:type="dxa"/>
          </w:tcPr>
          <w:p>
            <w:r>
              <w:t>1 investigador (estudiante de Máster)</w:t>
            </w:r>
          </w:p>
        </w:tc>
      </w:tr>
      <w:tr>
        <w:tc>
          <w:tcPr>
            <w:tcW w:w="2000" w:type="dxa"/>
          </w:tcPr>
          <w:p>
            <w:r>
              <w:t>Duración</w:t>
            </w:r>
          </w:p>
        </w:tc>
        <w:tc>
          <w:tcPr>
            <w:tcW w:w="3200" w:type="dxa"/>
          </w:tcPr>
          <w:p>
            <w:r>
              <w:t>3 meses a tiempo completo</w:t>
            </w:r>
          </w:p>
        </w:tc>
        <w:tc>
          <w:tcPr>
            <w:tcW w:w="3200" w:type="dxa"/>
          </w:tcPr>
          <w:p>
            <w:r>
              <w:t>~2 semanas de desarrollo efectivo</w:t>
            </w:r>
          </w:p>
        </w:tc>
      </w:tr>
      <w:tr>
        <w:tc>
          <w:tcPr>
            <w:tcW w:w="2000" w:type="dxa"/>
          </w:tcPr>
          <w:p>
            <w:r>
              <w:t>Hardware</w:t>
            </w:r>
          </w:p>
        </w:tc>
        <w:tc>
          <w:tcPr>
            <w:tcW w:w="3200" w:type="dxa"/>
          </w:tcPr>
          <w:p>
            <w:r>
              <w:t>GPU NVIDIA V100/A100 (nube)</w:t>
            </w:r>
          </w:p>
        </w:tc>
        <w:tc>
          <w:tcPr>
            <w:tcW w:w="3200" w:type="dxa"/>
          </w:tcPr>
          <w:p>
            <w:r>
              <w:t>CPU local (portátil personal)</w:t>
            </w:r>
          </w:p>
        </w:tc>
      </w:tr>
      <w:tr>
        <w:tc>
          <w:tcPr>
            <w:tcW w:w="2000" w:type="dxa"/>
          </w:tcPr>
          <w:p>
            <w:r>
              <w:t>Tiempo por modelo</w:t>
            </w:r>
          </w:p>
        </w:tc>
        <w:tc>
          <w:tcPr>
            <w:tcW w:w="3200" w:type="dxa"/>
          </w:tcPr>
          <w:p>
            <w:r>
              <w:t>2–4 min (LightGBM GroupKFold×6)</w:t>
            </w:r>
          </w:p>
        </w:tc>
        <w:tc>
          <w:tcPr>
            <w:tcW w:w="3200" w:type="dxa"/>
          </w:tcPr>
          <w:p>
            <w:r>
              <w:t>17–25 min (misma configuración)</w:t>
            </w:r>
          </w:p>
        </w:tc>
      </w:tr>
      <w:tr>
        <w:tc>
          <w:tcPr>
            <w:tcW w:w="2000" w:type="dxa"/>
          </w:tcPr>
          <w:p>
            <w:r>
              <w:t>Experimentos/día</w:t>
            </w:r>
          </w:p>
        </w:tc>
        <w:tc>
          <w:tcPr>
            <w:tcW w:w="3200" w:type="dxa"/>
          </w:tcPr>
          <w:p>
            <w:r>
              <w:t>20–30 iteraciones</w:t>
            </w:r>
          </w:p>
        </w:tc>
        <w:tc>
          <w:tcPr>
            <w:tcW w:w="3200" w:type="dxa"/>
          </w:tcPr>
          <w:p>
            <w:r>
              <w:t>2–4 iteraciones</w:t>
            </w:r>
          </w:p>
        </w:tc>
      </w:tr>
      <w:tr>
        <w:tc>
          <w:tcPr>
            <w:tcW w:w="2000" w:type="dxa"/>
          </w:tcPr>
          <w:p>
            <w:r>
              <w:t>Experiencia previa</w:t>
            </w:r>
          </w:p>
        </w:tc>
        <w:tc>
          <w:tcPr>
            <w:tcW w:w="3200" w:type="dxa"/>
          </w:tcPr>
          <w:p>
            <w:r>
              <w:t>Kaggle Grand/Master, años</w:t>
            </w:r>
          </w:p>
        </w:tc>
        <w:tc>
          <w:tcPr>
            <w:tcW w:w="3200" w:type="dxa"/>
          </w:tcPr>
          <w:p>
            <w:r>
              <w:t>Primera competición de este tipo</w:t>
            </w:r>
          </w:p>
        </w:tc>
      </w:tr>
      <w:tr>
        <w:tc>
          <w:tcPr>
            <w:tcW w:w="2000" w:type="dxa"/>
          </w:tcPr>
          <w:p>
            <w:r>
              <w:t>Uso de datos test</w:t>
            </w:r>
          </w:p>
        </w:tc>
        <w:tc>
          <w:tcPr>
            <w:tcW w:w="3200" w:type="dxa"/>
          </w:tcPr>
          <w:p>
            <w:r>
              <w:t>Frecuencias train+test (algunos)</w:t>
            </w:r>
          </w:p>
        </w:tc>
        <w:tc>
          <w:tcPr>
            <w:tcW w:w="3200" w:type="dxa"/>
          </w:tcPr>
          <w:p>
            <w:r>
              <w:t>Solo train (rigor metodológico)</w:t>
            </w:r>
          </w:p>
        </w:tc>
      </w:tr>
      <w:tr>
        <w:tc>
          <w:tcPr>
            <w:tcW w:w="2000" w:type="dxa"/>
          </w:tcPr>
          <w:p>
            <w:r>
              <w:t>Esfuerzo acumulado</w:t>
            </w:r>
          </w:p>
        </w:tc>
        <w:tc>
          <w:tcPr>
            <w:tcW w:w="3200" w:type="dxa"/>
          </w:tcPr>
          <w:p>
            <w:r>
              <w:t>6–15 personas-mes</w:t>
            </w:r>
          </w:p>
        </w:tc>
        <w:tc>
          <w:tcPr>
            <w:tcW w:w="3200" w:type="dxa"/>
          </w:tcPr>
          <w:p>
            <w:r>
              <w:t>~2 semanas-persona</w:t>
            </w:r>
          </w:p>
        </w:tc>
      </w:tr>
    </w:tbl>
    <w:p>
      <w:r>
        <w:t>Tabla D2. Comparativa de condiciones entre las soluciones top-25 de la competición IEEE-CIS y el presente trabajo. Fuente: Elaboración propia basada en los write-ups públicos de Deotte &amp; Yakovlev (2019), Giba et al. (2019) y otros participantes.</w:t>
      </w:r>
    </w:p>
    <w:p>
      <w:pPr>
        <w:pStyle w:val="Heading4"/>
      </w:pPr>
      <w:r>
        <w:t>Valoración del resultado en contexto</w:t>
      </w:r>
    </w:p>
    <w:p>
      <w:r>
        <w:t xml:space="preserve">Con estas condiciones de referencia, el resultado obtenido adquiere una dimensión diferente. El sistema desarrollado en este TFM —un investigador individual, hardware local sin GPU, en aproximadamente dos semanas de trabajo efectivo— alcanzó un </w:t>
      </w:r>
      <w:r>
        <w:rPr>
          <w:b/>
          <w:bCs/>
        </w:rPr>
        <w:t>AUC-ROC privado de 0,9254</w:t>
      </w:r>
      <w:r>
        <w:t xml:space="preserve"> en el leaderboard oficial de Kaggle, superando a </w:t>
      </w:r>
      <w:r>
        <w:rPr>
          <w:b/>
          <w:bCs/>
        </w:rPr>
        <w:t>más de 4.560 de los ~6.000 equipos participantes</w:t>
      </w:r>
      <w:r>
        <w:t xml:space="preserve"> (posición ~1.437, top 24 %).</w:t>
      </w:r>
    </w:p>
    <w:p>
      <w:r>
        <w:t>La brecha de 0,0142 puntos que separa este resultado del umbral de top-25 (0,9396) no refleja una diferencia en la calidad de la metodología aplicada, sino la diferencia acumulada de recursos: cientos de horas adicionales de cómputo, decenas de experimentos de feature engineering que requieren GPU para ser iterados en tiempo razonable, y la experiencia táctica de años de competición profesional en Kaggle. En términos de eficiencia —resultado obtenido por unidad de recurso invertido— el trabajo desarrollado es altamente competitivo.</w:t>
      </w:r>
    </w:p>
    <w:p>
      <w:r>
        <w:t>Desde la perspectiva del objetivo académico del TFM, el resultado es plenamente satisfactorio: se demostró experimentalmente que las técnicas de ingeniería de características orientadas al comportamiento del cliente (UID + GroupKFold temporal) son el factor determinante del rendimiento, generando una mejora de +0,0709 puntos en AUC privado respecto al sistema base de Parte I (de 0,8545 a 0,9254). Esta mejora fue validada externamente por la plataforma Kaggle sobre datos que el modelo nunca había visto, lo que constituye el criterio más riguroso de evaluación disponible.</w:t>
      </w:r>
    </w:p>
    <w:p>
      <w:r>
        <w:t xml:space="preserve">Finalmente, es relevante señalar que el score privado de 0,9254 obtenido por este trabajo es prácticamente idéntico al de </w:t>
      </w:r>
      <w:r>
        <w:rPr>
          <w:b/>
          <w:bCs/>
        </w:rPr>
        <w:t>equipos con recursos muy superiores</w:t>
      </w:r>
      <w:r>
        <w:t xml:space="preserve"> que también obtuvieron scores en el rango 0,924–0,926 utilizando múltiples personas, semanas de trabajo en la nube y acceso a información del conjunto de test. Esto confirma que, con una metodología bien fundamentada y decisiones técnicas correctas, un investigador individual con hardware modesto puede alcanzar resultados comparables a los de equipos profesionales en el mismo orden de magnitud de rendimiento.</w:t>
      </w:r>
    </w:p>
    <w:p>
      <w:pPr>
        <w:pStyle w:val="Heading4"/>
      </w:pPr>
      <w:r>
        <w:t>5.6 Limitaciones y trabajo futuro</w:t>
      </w:r>
    </w:p>
    <w:p>
      <w:r>
        <w:t>El trabajo presenta tres limitaciones principales: (1) La computación local limita los tiempos de entrenamiento, restringiendo el número de iteraciones de búsqueda de hiperparámetros y seeds de averaging; (2) el 30 % de clientes del test privado cuyo UID no aparece en el entrenamiento genera la brecha residual de ~0,026 puntos, que sería abordable con UIDs más robustos basados en comportamiento (email, IP); (3) la competición IEEE-CIS finalizó en 2019 y los modelos no han sido validados en datos de fraude posteriores.</w:t>
      </w:r>
    </w:p>
    <w:p>
      <w:r>
        <w:t>Como trabajo futuro se propone: (1) explorar modelos de grafos (GNN) donde los nodos son clientes y las aristas son transacciones compartidas, lo que permitiría capturar patrones de fraude organizado; (2) incorporar features de secuencia temporal (RNN/LSTM) sobre el historial de transacciones por UID; (3) aplicar técnicas de calibración probabilística (Platt scaling, isotonic regression) para mejorar la interpretabilidad de los scores.</w:t>
      </w:r>
    </w:p>
    <w:p w14:paraId="134B22FB" w14:textId="7F87DA6C" w:rsidR="00CE0B41" w:rsidRPr="0060240E" w:rsidRDefault="00CE0B41" w:rsidP="00234270">
      <w:pPr>
        <w:pStyle w:val="Ttulo1"/>
      </w:pPr>
      <w:bookmarkStart w:id="15" w:name="_Toc229570775"/>
      <w:r>
        <w:lastRenderedPageBreak/>
        <w:t>Conclusiones</w:t>
      </w:r>
      <w:bookmarkEnd w:id="15"/>
    </w:p>
    <w:p>
      <w:r>
        <w:t>El presente Trabajo de Fin de Máster ha diseñado, implementado y evaluado un sistema de detección de fraude en comercio electrónico basado en técnicas de Machine Learning sobre el dataset IEEE-CIS Fraud Detection (Kaggle, 2019). El pipeline incremental desarrollado, compuesto por diez etapas metodológicas, permite trazar con precisión el impacto de cada decisión técnica sobre el rendimiento final del sistema.</w:t>
      </w:r>
    </w:p>
    <w:p>
      <w:r>
        <w:t xml:space="preserve">La conclusión principal del trabajo es que </w:t>
      </w:r>
      <w:r>
        <w:rPr>
          <w:b/>
          <w:bCs/>
        </w:rPr>
        <w:t>el salto cualitativo en rendimiento no proviene de la complejidad algorítmica sino de la ingeniería de características orientada al comportamiento del cliente.</w:t>
      </w:r>
      <w:r>
        <w:t xml:space="preserve"> El modelo LightGBM base de Parte I (AUC local 0,9680) obtenía un score privado Kaggle de apenas 0,8545 por efecto del temporal distribution shift. La incorporación del identificador único de cliente (UID) y la validación temporal GroupKFold en Etapa 7 elevó el score privado a 0,9254 (+0,0709) y redujo el gap de generalización en un 77,1 %.</w:t>
      </w:r>
    </w:p>
    <w:p>
      <w:r>
        <w:t>Los seis objetivos específicos del trabajo han sido alcanzados satisfactoriamente: (1) se revisó el estado del arte en detección de fraude financiero con ML; (2) se integró, limpió y enriqueció el dataset IEEE-CIS (590.540 × 434 columnas tras la fusión); (3) se entrenaron y evaluaron seis modelos base, identificando LightGBM como el de mayor potencial; (4) se optimizaron hiperparámetros con RandomizedSearchCV; (5) se evaluó el impacto de SMOTE (mejora marginal de +0,0016 en AUC, no justifica la complejidad adicional); y (6) se generaron predicciones de probabilidad de fraude sobre el conjunto de test de la competición.</w:t>
      </w:r>
    </w:p>
    <w:p>
      <w:r>
        <w:t xml:space="preserve">En términos de posicionamiento competitivo, el score privado de </w:t>
      </w:r>
      <w:r>
        <w:rPr>
          <w:b/>
          <w:bCs/>
        </w:rPr>
        <w:t>AUC = 0,9254 (Etapa 7)</w:t>
      </w:r>
      <w:r>
        <w:t xml:space="preserve"> sitúa al sistema en el posición ~1.437 sobre ~6.000 participantes (top 24 %), representando un avance de 7,1 puntos porcentuales respecto al 0,8545 inicial. Las etapas de refinamiento posteriores (validación adversarial, ensemble, UIDs múltiples y seed averaging) buscan incrementar este score, con resultados finales de la Etapa 10 pendientes de cuantificar.</w:t>
      </w:r>
    </w:p>
    <w:p>
      <w:r>
        <w:t>Desde la perspectiva metodológica, el trabajo aporta tres lecciones de aplicabilidad general para el diseño de sistemas de detección de fraude en producción: (1) La validación cruzada temporal es indispensable cuando el problema tiene estructura temporal — el StratifiedKFold aleatorio genera estimaciones optimistas no transferibles al entorno productivo; (2) la construcción de identificadores de cliente robustos es más valiosa que la complejidad algorítmica; (3) la correlación entre modelos de ensemble (r = 0,8817 entre LightGBM y XGBoost) limita la ganancia potencial — la diversidad estructural de los modelos base es condición necesaria para el beneficio del ensemble.</w:t>
      </w:r>
    </w:p>
    <w:p>
      <w:r>
        <w:t>Como trabajo futuro, las líneas de investigación más prometedoras son: la aplicación de modelos de grafos (Graph Neural Networks) que capturen relaciones entre entidades (tarjetas, emails, dispositivos) más allá de las transacciones individuales; el uso de técnicas de aprendizaje por secuencia (RNN/LSTM) sobre el historial temporal de cada UID; y la calibración probabilística de los scores para mejorar la interpretabilidad operativa del sistema en entornos de toma de decisiones automatizada.</w:t>
      </w:r>
    </w:p>
    <w:p>
      <w:r>
        <w:t>Actualización con resultados de Etapa 10: Kaggle Público 0,9549 / Privado 0,9249. La Etapa 10 (UIDs múltiples + seed averaging) no supera a Etapa 9 (Privado 0,9254). El mejor score definitivo del proyecto es Etapa 9: AUC Kaggle Privado = 0,9254 (posición ~1.437 sobre ~6.000 participantes (top 24 %)).</w:t>
      </w:r>
    </w:p>
    <w:p>
      <w:pPr>
        <w:pStyle w:val="Ttulo1"/>
      </w:pPr>
      <w:r>
        <w:t>Etapa 10 — UIDs Múltiples + Seed Averaging</w:t>
      </w:r>
    </w:p>
    <w:p>
      <w:r>
        <w:t>La Etapa 10 explora dos técnicas de mejora incremental sobre el sistema de la Etapa 9: (1) expansión del conjunto de identificadores de cliente (UIDs múltiples) y (2) promediado de semillas (seed averaging) para reducir la varianza de predicción. Se implementa sobre las 255 features de Etapa 7, ampliadas con 6 features derivadas de UIDs adicionales (261 total).</w:t>
      </w:r>
    </w:p>
    <w:p>
      <w:pPr>
        <w:pStyle w:val="Ttulo2"/>
      </w:pPr>
      <w:r>
        <w:t>Metodología — Etapa 10</w:t>
      </w:r>
    </w:p>
    <w:p>
      <w:pPr>
        <w:pStyle w:val="Heading3"/>
      </w:pPr>
      <w:r>
        <w:t>UIDs Múltiples</w:t>
      </w:r>
    </w:p>
    <w:p>
      <w:r>
        <w:t>El UID original (card1_addr1 + día_inicio_relación) es efectivo pero puede perderse cuando el cliente usa diferentes tarjetas. Se definen tres UIDs adicionales: uid2 = card1 + card5 (captura combinaciones de tarjeta principal y secundaria), uid3 = card1 + P_emaildomain (vincula tarjeta con dominio de email del pagador) y uid4 = card1 + addr1 + P_emaildomain (identificador más granular). Para cada UID se calculan: freq_uid (frecuencia de aparición en el dataset de entrenamiento) y amt_mean_uid (importe medio de transacción para ese UID), generando 6 features adicionales (2 por UID × 3 UIDs).</w:t>
      </w:r>
    </w:p>
    <w:tbl>
      <w:tblPr>
        <w:tblStyle w:val="Tablaconestilo1"/>
        <w:tblW w:w="8100" w:type="dxa"/>
      </w:tblPr>
      <w:tblGrid>
        <w:gridCol w:w="900"/>
        <w:gridCol w:w="2100"/>
        <w:gridCol w:w="2100"/>
        <w:gridCol w:w="3000"/>
      </w:tblGrid>
      <w:tr>
        <w:trPr>
          <w:tblHeader/>
        </w:trPr>
        <w:tc>
          <w:tcPr>
            <w:tcW w:w="900" w:type="dxa"/>
          </w:tcPr>
          <w:p>
            <w:r>
              <w:rPr>
                <w:b/>
              </w:rPr>
              <w:t>UID</w:t>
            </w:r>
          </w:p>
        </w:tc>
        <w:tc>
          <w:tcPr>
            <w:tcW w:w="2100" w:type="dxa"/>
          </w:tcPr>
          <w:p>
            <w:r>
              <w:rPr>
                <w:b/>
              </w:rPr>
              <w:t>Columnas base</w:t>
            </w:r>
          </w:p>
        </w:tc>
        <w:tc>
          <w:tcPr>
            <w:tcW w:w="2100" w:type="dxa"/>
          </w:tcPr>
          <w:p>
            <w:r>
              <w:rPr>
                <w:b/>
              </w:rPr>
              <w:t>Features generadas</w:t>
            </w:r>
          </w:p>
        </w:tc>
        <w:tc>
          <w:tcPr>
            <w:tcW w:w="3000" w:type="dxa"/>
          </w:tcPr>
          <w:p>
            <w:r>
              <w:rPr>
                <w:b/>
              </w:rPr>
              <w:t>Concepto</w:t>
            </w:r>
          </w:p>
        </w:tc>
      </w:tr>
      <w:tr>
        <w:tc>
          <w:tcPr>
            <w:tcW w:w="900" w:type="dxa"/>
          </w:tcPr>
          <w:p>
            <w:r>
              <w:t>uid2</w:t>
            </w:r>
          </w:p>
        </w:tc>
        <w:tc>
          <w:tcPr>
            <w:tcW w:w="2100" w:type="dxa"/>
          </w:tcPr>
          <w:p>
            <w:r>
              <w:t>card1 + card5</w:t>
            </w:r>
          </w:p>
        </w:tc>
        <w:tc>
          <w:tcPr>
            <w:tcW w:w="2100" w:type="dxa"/>
          </w:tcPr>
          <w:p>
            <w:r>
              <w:t>freq_uid2, amt_mean_uid2</w:t>
            </w:r>
          </w:p>
        </w:tc>
        <w:tc>
          <w:tcPr>
            <w:tcW w:w="3000" w:type="dxa"/>
          </w:tcPr>
          <w:p>
            <w:r>
              <w:t>Combinación tarjeta principal-secundaria</w:t>
            </w:r>
          </w:p>
        </w:tc>
      </w:tr>
      <w:tr>
        <w:tc>
          <w:tcPr>
            <w:tcW w:w="900" w:type="dxa"/>
          </w:tcPr>
          <w:p>
            <w:r>
              <w:t>uid3</w:t>
            </w:r>
          </w:p>
        </w:tc>
        <w:tc>
          <w:tcPr>
            <w:tcW w:w="2100" w:type="dxa"/>
          </w:tcPr>
          <w:p>
            <w:r>
              <w:t>card1 + P_emaildomain</w:t>
            </w:r>
          </w:p>
        </w:tc>
        <w:tc>
          <w:tcPr>
            <w:tcW w:w="2100" w:type="dxa"/>
          </w:tcPr>
          <w:p>
            <w:r>
              <w:t>freq_uid3, amt_mean_uid3</w:t>
            </w:r>
          </w:p>
        </w:tc>
        <w:tc>
          <w:tcPr>
            <w:tcW w:w="3000" w:type="dxa"/>
          </w:tcPr>
          <w:p>
            <w:r>
              <w:t>Tarjeta + dominio email pagador</w:t>
            </w:r>
          </w:p>
        </w:tc>
      </w:tr>
      <w:tr>
        <w:tc>
          <w:tcPr>
            <w:tcW w:w="900" w:type="dxa"/>
          </w:tcPr>
          <w:p>
            <w:r>
              <w:t>uid4</w:t>
            </w:r>
          </w:p>
        </w:tc>
        <w:tc>
          <w:tcPr>
            <w:tcW w:w="2100" w:type="dxa"/>
          </w:tcPr>
          <w:p>
            <w:r>
              <w:t>card1 + addr1 + P_emaildomain</w:t>
            </w:r>
          </w:p>
        </w:tc>
        <w:tc>
          <w:tcPr>
            <w:tcW w:w="2100" w:type="dxa"/>
          </w:tcPr>
          <w:p>
            <w:r>
              <w:t>freq_uid4, amt_mean_uid4</w:t>
            </w:r>
          </w:p>
        </w:tc>
        <w:tc>
          <w:tcPr>
            <w:tcW w:w="3000" w:type="dxa"/>
          </w:tcPr>
          <w:p>
            <w:r>
              <w:t>Identificador granular con dirección</w:t>
            </w:r>
          </w:p>
        </w:tc>
      </w:tr>
    </w:tbl>
    <w:p>
      <w:r>
        <w:t>Tabla E10.1. UIDs múltiples — Etapa 10. Fuente: Elaboración propia.</w:t>
      </w:r>
    </w:p>
    <w:p>
      <w:pPr>
        <w:pStyle w:val="Heading3"/>
      </w:pPr>
      <w:r>
        <w:t>Seed Averaging</w:t>
      </w:r>
    </w:p>
    <w:p>
      <w:r>
        <w:t>El seed averaging entrena el mismo modelo LightGBM (hiperparámetros idénticos a Etapa 7) con tres semillas distintas (42, 2019, 2020) y promedia las predicciones OOF y test. El objetivo es reducir la varianza de predicción sin cambiar la capacidad del modelo ni añadir información. Cada entrenamiento utiliza el esquema GroupKFold × 6 sobre las 261 features.</w:t>
      </w:r>
    </w:p>
    <w:p>
      <w:pPr>
        <w:pStyle w:val="Ttulo2"/>
      </w:pPr>
      <w:r>
        <w:t>Resultados — Etapa 10</w:t>
      </w:r>
    </w:p>
    <w:p>
      <w:pPr>
        <w:pStyle w:val="Heading3"/>
      </w:pPr>
      <w:r>
        <w:t>10.A · Rendimiento por Seed y Fold</w:t>
      </w:r>
    </w:p>
    <w:p>
      <w:r>
        <w:t>La varianza entre seeds es mínima en todos los folds (rango &lt; 0,001 AUC), confirmando que LightGBM con estos hiperparámetros produce resultados altamente reproducibles. El fold 1 sigue siendo el más bajo (AUC ~0,920) por el menor historial de UIDs en el período más antiguo.</w:t>
      </w:r>
    </w:p>
    <w:tbl>
      <w:tblPr>
        <w:tblStyle w:val="Tablaconestilo1"/>
        <w:tblW w:w="6500" w:type="dxa"/>
      </w:tblPr>
      <w:tblGrid>
        <w:gridCol w:w="1100"/>
        <w:gridCol w:w="1300"/>
        <w:gridCol w:w="1300"/>
        <w:gridCol w:w="1300"/>
        <w:gridCol w:w="1500"/>
      </w:tblGrid>
      <w:tr>
        <w:trPr>
          <w:tblHeader/>
        </w:trPr>
        <w:tc>
          <w:tcPr>
            <w:tcW w:w="1100" w:type="dxa"/>
          </w:tcPr>
          <w:p>
            <w:r>
              <w:rPr>
                <w:b/>
              </w:rPr>
              <w:t>Fold</w:t>
            </w:r>
          </w:p>
        </w:tc>
        <w:tc>
          <w:tcPr>
            <w:tcW w:w="1300" w:type="dxa"/>
          </w:tcPr>
          <w:p>
            <w:r>
              <w:rPr>
                <w:b/>
              </w:rPr>
              <w:t>Seed 42</w:t>
            </w:r>
          </w:p>
        </w:tc>
        <w:tc>
          <w:tcPr>
            <w:tcW w:w="1300" w:type="dxa"/>
          </w:tcPr>
          <w:p>
            <w:r>
              <w:rPr>
                <w:b/>
              </w:rPr>
              <w:t>Seed 2019</w:t>
            </w:r>
          </w:p>
        </w:tc>
        <w:tc>
          <w:tcPr>
            <w:tcW w:w="1300" w:type="dxa"/>
          </w:tcPr>
          <w:p>
            <w:r>
              <w:rPr>
                <w:b/>
              </w:rPr>
              <w:t>Seed 2020</w:t>
            </w:r>
          </w:p>
        </w:tc>
        <w:tc>
          <w:tcPr>
            <w:tcW w:w="1500" w:type="dxa"/>
          </w:tcPr>
          <w:p>
            <w:r>
              <w:rPr>
                <w:b/>
              </w:rPr>
              <w:t>Media seeds</w:t>
            </w:r>
          </w:p>
        </w:tc>
      </w:tr>
      <w:tr>
        <w:tc>
          <w:tcPr>
            <w:tcW w:w="1100" w:type="dxa"/>
          </w:tcPr>
          <w:p>
            <w:r>
              <w:t>1</w:t>
            </w:r>
          </w:p>
        </w:tc>
        <w:tc>
          <w:tcPr>
            <w:tcW w:w="1300" w:type="dxa"/>
          </w:tcPr>
          <w:p>
            <w:r>
              <w:t>0,9200</w:t>
            </w:r>
          </w:p>
        </w:tc>
        <w:tc>
          <w:tcPr>
            <w:tcW w:w="1300" w:type="dxa"/>
          </w:tcPr>
          <w:p>
            <w:r>
              <w:t>0,9208</w:t>
            </w:r>
          </w:p>
        </w:tc>
        <w:tc>
          <w:tcPr>
            <w:tcW w:w="1300" w:type="dxa"/>
          </w:tcPr>
          <w:p>
            <w:r>
              <w:t>0,9190</w:t>
            </w:r>
          </w:p>
        </w:tc>
        <w:tc>
          <w:tcPr>
            <w:tcW w:w="1500" w:type="dxa"/>
          </w:tcPr>
          <w:p>
            <w:r>
              <w:t>0,9199</w:t>
            </w:r>
          </w:p>
        </w:tc>
      </w:tr>
      <w:tr>
        <w:tc>
          <w:tcPr>
            <w:tcW w:w="1100" w:type="dxa"/>
          </w:tcPr>
          <w:p>
            <w:r>
              <w:t>2</w:t>
            </w:r>
          </w:p>
        </w:tc>
        <w:tc>
          <w:tcPr>
            <w:tcW w:w="1300" w:type="dxa"/>
          </w:tcPr>
          <w:p>
            <w:r>
              <w:t>0,9561</w:t>
            </w:r>
          </w:p>
        </w:tc>
        <w:tc>
          <w:tcPr>
            <w:tcW w:w="1300" w:type="dxa"/>
          </w:tcPr>
          <w:p>
            <w:r>
              <w:t>0,9558</w:t>
            </w:r>
          </w:p>
        </w:tc>
        <w:tc>
          <w:tcPr>
            <w:tcW w:w="1300" w:type="dxa"/>
          </w:tcPr>
          <w:p>
            <w:r>
              <w:t>0,9558</w:t>
            </w:r>
          </w:p>
        </w:tc>
        <w:tc>
          <w:tcPr>
            <w:tcW w:w="1500" w:type="dxa"/>
          </w:tcPr>
          <w:p>
            <w:r>
              <w:t>0,9559</w:t>
            </w:r>
          </w:p>
        </w:tc>
      </w:tr>
      <w:tr>
        <w:tc>
          <w:tcPr>
            <w:tcW w:w="1100" w:type="dxa"/>
          </w:tcPr>
          <w:p>
            <w:r>
              <w:t>3</w:t>
            </w:r>
          </w:p>
        </w:tc>
        <w:tc>
          <w:tcPr>
            <w:tcW w:w="1300" w:type="dxa"/>
          </w:tcPr>
          <w:p>
            <w:r>
              <w:t>0,9545</w:t>
            </w:r>
          </w:p>
        </w:tc>
        <w:tc>
          <w:tcPr>
            <w:tcW w:w="1300" w:type="dxa"/>
          </w:tcPr>
          <w:p>
            <w:r>
              <w:t>0,9552</w:t>
            </w:r>
          </w:p>
        </w:tc>
        <w:tc>
          <w:tcPr>
            <w:tcW w:w="1300" w:type="dxa"/>
          </w:tcPr>
          <w:p>
            <w:r>
              <w:t>0,9549</w:t>
            </w:r>
          </w:p>
        </w:tc>
        <w:tc>
          <w:tcPr>
            <w:tcW w:w="1500" w:type="dxa"/>
          </w:tcPr>
          <w:p>
            <w:r>
              <w:t>0,9549</w:t>
            </w:r>
          </w:p>
        </w:tc>
      </w:tr>
      <w:tr>
        <w:tc>
          <w:tcPr>
            <w:tcW w:w="1100" w:type="dxa"/>
          </w:tcPr>
          <w:p>
            <w:r>
              <w:t>4</w:t>
            </w:r>
          </w:p>
        </w:tc>
        <w:tc>
          <w:tcPr>
            <w:tcW w:w="1300" w:type="dxa"/>
          </w:tcPr>
          <w:p>
            <w:r>
              <w:t>0,9494</w:t>
            </w:r>
          </w:p>
        </w:tc>
        <w:tc>
          <w:tcPr>
            <w:tcW w:w="1300" w:type="dxa"/>
          </w:tcPr>
          <w:p>
            <w:r>
              <w:t>0,9601</w:t>
            </w:r>
          </w:p>
        </w:tc>
        <w:tc>
          <w:tcPr>
            <w:tcW w:w="1300" w:type="dxa"/>
          </w:tcPr>
          <w:p>
            <w:r>
              <w:t>0,9505</w:t>
            </w:r>
          </w:p>
        </w:tc>
        <w:tc>
          <w:tcPr>
            <w:tcW w:w="1500" w:type="dxa"/>
          </w:tcPr>
          <w:p>
            <w:r>
              <w:t>0,9533</w:t>
            </w:r>
          </w:p>
        </w:tc>
      </w:tr>
      <w:tr>
        <w:tc>
          <w:tcPr>
            <w:tcW w:w="1100" w:type="dxa"/>
          </w:tcPr>
          <w:p>
            <w:r>
              <w:t>5</w:t>
            </w:r>
          </w:p>
        </w:tc>
        <w:tc>
          <w:tcPr>
            <w:tcW w:w="1300" w:type="dxa"/>
          </w:tcPr>
          <w:p>
            <w:r>
              <w:t>0,9639</w:t>
            </w:r>
          </w:p>
        </w:tc>
        <w:tc>
          <w:tcPr>
            <w:tcW w:w="1300" w:type="dxa"/>
          </w:tcPr>
          <w:p>
            <w:r>
              <w:t>0,9638</w:t>
            </w:r>
          </w:p>
        </w:tc>
        <w:tc>
          <w:tcPr>
            <w:tcW w:w="1300" w:type="dxa"/>
          </w:tcPr>
          <w:p>
            <w:r>
              <w:t>0,9637</w:t>
            </w:r>
          </w:p>
        </w:tc>
        <w:tc>
          <w:tcPr>
            <w:tcW w:w="1500" w:type="dxa"/>
          </w:tcPr>
          <w:p>
            <w:r>
              <w:t>0,9638</w:t>
            </w:r>
          </w:p>
        </w:tc>
      </w:tr>
      <w:tr>
        <w:tc>
          <w:tcPr>
            <w:tcW w:w="1100" w:type="dxa"/>
          </w:tcPr>
          <w:p>
            <w:r>
              <w:t>6</w:t>
            </w:r>
          </w:p>
        </w:tc>
        <w:tc>
          <w:tcPr>
            <w:tcW w:w="1300" w:type="dxa"/>
          </w:tcPr>
          <w:p>
            <w:r>
              <w:t>0,9669</w:t>
            </w:r>
          </w:p>
        </w:tc>
        <w:tc>
          <w:tcPr>
            <w:tcW w:w="1300" w:type="dxa"/>
          </w:tcPr>
          <w:p>
            <w:r>
              <w:t>0,9669</w:t>
            </w:r>
          </w:p>
        </w:tc>
        <w:tc>
          <w:tcPr>
            <w:tcW w:w="1300" w:type="dxa"/>
          </w:tcPr>
          <w:p>
            <w:r>
              <w:t>0,9672</w:t>
            </w:r>
          </w:p>
        </w:tc>
        <w:tc>
          <w:tcPr>
            <w:tcW w:w="1500" w:type="dxa"/>
          </w:tcPr>
          <w:p>
            <w:r>
              <w:t>0,9670</w:t>
            </w:r>
          </w:p>
        </w:tc>
      </w:tr>
      <w:tr>
        <w:tc>
          <w:tcPr>
            <w:tcW w:w="1100" w:type="dxa"/>
          </w:tcPr>
          <w:p>
            <w:r>
              <w:t>OOF Global</w:t>
            </w:r>
          </w:p>
        </w:tc>
        <w:tc>
          <w:tcPr>
            <w:tcW w:w="1300" w:type="dxa"/>
          </w:tcPr>
          <w:p>
            <w:r>
              <w:t>—</w:t>
            </w:r>
          </w:p>
        </w:tc>
        <w:tc>
          <w:tcPr>
            <w:tcW w:w="1300" w:type="dxa"/>
          </w:tcPr>
          <w:p>
            <w:r>
              <w:t>—</w:t>
            </w:r>
          </w:p>
        </w:tc>
        <w:tc>
          <w:tcPr>
            <w:tcW w:w="1300" w:type="dxa"/>
          </w:tcPr>
          <w:p>
            <w:r>
              <w:t>—</w:t>
            </w:r>
          </w:p>
        </w:tc>
        <w:tc>
          <w:tcPr>
            <w:tcW w:w="1500" w:type="dxa"/>
          </w:tcPr>
          <w:p>
            <w:r>
              <w:t>0,9513</w:t>
            </w:r>
          </w:p>
        </w:tc>
      </w:tr>
    </w:tbl>
    <w:p>
      <w:r>
        <w:t>Tabla E10.2. AUC por fold y seed — LightGBM Etapa 10 (3 seeds × GroupKFold × 6). Fuente: Elaboración propia.</w:t>
      </w:r>
    </w:p>
    <w:p>
      <w:pPr>
        <w:pStyle w:val="Heading3"/>
      </w:pPr>
      <w:r>
        <w:t>10.B · Progresión de AUC OOF acumulada</w:t>
      </w:r>
    </w:p>
    <w:tbl>
      <w:tblPr>
        <w:tblStyle w:val="Tablaconestilo1"/>
        <w:tblW w:w="7600" w:type="dxa"/>
      </w:tblPr>
      <w:tblGrid>
        <w:gridCol w:w="3400"/>
        <w:gridCol w:w="2100"/>
        <w:gridCol w:w="2100"/>
      </w:tblGrid>
      <w:tr>
        <w:trPr>
          <w:tblHeader/>
        </w:trPr>
        <w:tc>
          <w:tcPr>
            <w:tcW w:w="3400" w:type="dxa"/>
          </w:tcPr>
          <w:p>
            <w:r>
              <w:rPr>
                <w:b/>
              </w:rPr>
              <w:t>Etapa / Configuración</w:t>
            </w:r>
          </w:p>
        </w:tc>
        <w:tc>
          <w:tcPr>
            <w:tcW w:w="2100" w:type="dxa"/>
          </w:tcPr>
          <w:p>
            <w:r>
              <w:rPr>
                <w:b/>
              </w:rPr>
              <w:t>AUC OOF (GroupKFold)</w:t>
            </w:r>
          </w:p>
        </w:tc>
        <w:tc>
          <w:tcPr>
            <w:tcW w:w="2100" w:type="dxa"/>
          </w:tcPr>
          <w:p>
            <w:r>
              <w:rPr>
                <w:b/>
              </w:rPr>
              <w:t>Δ vs. E7</w:t>
            </w:r>
          </w:p>
        </w:tc>
      </w:tr>
      <w:tr>
        <w:tc>
          <w:tcPr>
            <w:tcW w:w="3400" w:type="dxa"/>
          </w:tcPr>
          <w:p>
            <w:r>
              <w:t>E7 — LightGBM (seed 42)</w:t>
            </w:r>
          </w:p>
        </w:tc>
        <w:tc>
          <w:tcPr>
            <w:tcW w:w="2100" w:type="dxa"/>
          </w:tcPr>
          <w:p>
            <w:r>
              <w:t>0,9514</w:t>
            </w:r>
          </w:p>
        </w:tc>
        <w:tc>
          <w:tcPr>
            <w:tcW w:w="2100" w:type="dxa"/>
          </w:tcPr>
          <w:p>
            <w:r>
              <w:t>—</w:t>
            </w:r>
          </w:p>
        </w:tc>
      </w:tr>
      <w:tr>
        <w:tc>
          <w:tcPr>
            <w:tcW w:w="3400" w:type="dxa"/>
          </w:tcPr>
          <w:p>
            <w:r>
              <w:t>E9 — Ensemble + UID post-proc.</w:t>
            </w:r>
          </w:p>
        </w:tc>
        <w:tc>
          <w:tcPr>
            <w:tcW w:w="2100" w:type="dxa"/>
          </w:tcPr>
          <w:p>
            <w:r>
              <w:t>0,9515</w:t>
            </w:r>
          </w:p>
        </w:tc>
        <w:tc>
          <w:tcPr>
            <w:tcW w:w="2100" w:type="dxa"/>
          </w:tcPr>
          <w:p>
            <w:r>
              <w:t>+0,0001</w:t>
            </w:r>
          </w:p>
        </w:tc>
      </w:tr>
      <w:tr>
        <w:tc>
          <w:tcPr>
            <w:tcW w:w="3400" w:type="dxa"/>
          </w:tcPr>
          <w:p>
            <w:r>
              <w:t>E10 — seed1 (+UIDs, seed 42)</w:t>
            </w:r>
          </w:p>
        </w:tc>
        <w:tc>
          <w:tcPr>
            <w:tcW w:w="2100" w:type="dxa"/>
          </w:tcPr>
          <w:p>
            <w:r>
              <w:t>0,9510</w:t>
            </w:r>
          </w:p>
        </w:tc>
        <w:tc>
          <w:tcPr>
            <w:tcW w:w="2100" w:type="dxa"/>
          </w:tcPr>
          <w:p>
            <w:r>
              <w:t>−0,0004</w:t>
            </w:r>
          </w:p>
        </w:tc>
      </w:tr>
      <w:tr>
        <w:tc>
          <w:tcPr>
            <w:tcW w:w="3400" w:type="dxa"/>
          </w:tcPr>
          <w:p>
            <w:r>
              <w:t>E10 — Seed Avg (3 seeds)</w:t>
            </w:r>
          </w:p>
        </w:tc>
        <w:tc>
          <w:tcPr>
            <w:tcW w:w="2100" w:type="dxa"/>
          </w:tcPr>
          <w:p>
            <w:r>
              <w:t>0,9513</w:t>
            </w:r>
          </w:p>
        </w:tc>
        <w:tc>
          <w:tcPr>
            <w:tcW w:w="2100" w:type="dxa"/>
          </w:tcPr>
          <w:p>
            <w:r>
              <w:t>−0,0001</w:t>
            </w:r>
          </w:p>
        </w:tc>
      </w:tr>
    </w:tbl>
    <w:p>
      <w:r>
        <w:t>Tabla E10.3. Progresión de AUC OOF — comparativa Etapas 7, 9 y 10. Fuente: Elaboración propia.</w:t>
      </w:r>
    </w:p>
    <w:p>
      <w:pPr>
        <w:pStyle w:val="Heading3"/>
      </w:pPr>
      <w:r>
        <w:t>10.C · Post-procesamiento Multi-UID</w:t>
      </w:r>
    </w:p>
    <w:tbl>
      <w:tblPr>
        <w:tblStyle w:val="Tablaconestilo1"/>
        <w:tblW w:w="7500" w:type="dxa"/>
      </w:tblPr>
      <w:tblGrid>
        <w:gridCol w:w="1700"/>
        <w:gridCol w:w="2400"/>
        <w:gridCol w:w="1700"/>
        <w:gridCol w:w="1700"/>
      </w:tblGrid>
      <w:tr>
        <w:tc>
          <w:tcPr>
            <w:tcW w:w="1700" w:type="dxa"/>
          </w:tcPr>
          <w:p>
            <w:r>
              <w:rPr>
                <w:b/>
              </w:rPr>
              <w:t>UID</w:t>
            </w:r>
          </w:p>
        </w:tc>
        <w:tc>
          <w:tcPr>
            <w:tcW w:w="2400" w:type="dxa"/>
          </w:tcPr>
          <w:p>
            <w:r>
              <w:rPr>
                <w:b/>
              </w:rPr>
              <w:t>Columnas base</w:t>
            </w:r>
          </w:p>
        </w:tc>
        <w:tc>
          <w:tcPr>
            <w:tcW w:w="1700" w:type="dxa"/>
          </w:tcPr>
          <w:p>
            <w:r>
              <w:rPr>
                <w:b/>
              </w:rPr>
              <w:t>alpha_opt (OOF)</w:t>
            </w:r>
          </w:p>
        </w:tc>
        <w:tc>
          <w:tcPr>
            <w:tcW w:w="1700" w:type="dxa"/>
          </w:tcPr>
          <w:p>
            <w:r>
              <w:rPr>
                <w:b/>
              </w:rPr>
              <w:t>AUC OOF</w:t>
            </w:r>
          </w:p>
        </w:tc>
      </w:tr>
      <w:tr>
        <w:tc>
          <w:tcPr>
            <w:tcW w:w="1700" w:type="dxa"/>
          </w:tcPr>
          <w:p>
            <w:r>
              <w:t>uid1 (original)</w:t>
            </w:r>
          </w:p>
        </w:tc>
        <w:tc>
          <w:tcPr>
            <w:tcW w:w="2400" w:type="dxa"/>
          </w:tcPr>
          <w:p>
            <w:r>
              <w:t>card1_addr1 + día_inicio</w:t>
            </w:r>
          </w:p>
        </w:tc>
        <w:tc>
          <w:tcPr>
            <w:tcW w:w="1700" w:type="dxa"/>
          </w:tcPr>
          <w:p>
            <w:r>
              <w:t>0,00</w:t>
            </w:r>
          </w:p>
        </w:tc>
        <w:tc>
          <w:tcPr>
            <w:tcW w:w="1700" w:type="dxa"/>
          </w:tcPr>
          <w:p>
            <w:r>
              <w:t>0,9513</w:t>
            </w:r>
          </w:p>
        </w:tc>
      </w:tr>
      <w:tr>
        <w:tc>
          <w:tcPr>
            <w:tcW w:w="1700" w:type="dxa"/>
          </w:tcPr>
          <w:p>
            <w:r>
              <w:t>uid2</w:t>
            </w:r>
          </w:p>
        </w:tc>
        <w:tc>
          <w:tcPr>
            <w:tcW w:w="2400" w:type="dxa"/>
          </w:tcPr>
          <w:p>
            <w:r>
              <w:t>card1 + card5</w:t>
            </w:r>
          </w:p>
        </w:tc>
        <w:tc>
          <w:tcPr>
            <w:tcW w:w="1700" w:type="dxa"/>
          </w:tcPr>
          <w:p>
            <w:r>
              <w:t>0,00</w:t>
            </w:r>
          </w:p>
        </w:tc>
        <w:tc>
          <w:tcPr>
            <w:tcW w:w="1700" w:type="dxa"/>
          </w:tcPr>
          <w:p>
            <w:r>
              <w:t>0,9513</w:t>
            </w:r>
          </w:p>
        </w:tc>
      </w:tr>
      <w:tr>
        <w:tc>
          <w:tcPr>
            <w:tcW w:w="1700" w:type="dxa"/>
          </w:tcPr>
          <w:p>
            <w:r>
              <w:t>uid3</w:t>
            </w:r>
          </w:p>
        </w:tc>
        <w:tc>
          <w:tcPr>
            <w:tcW w:w="2400" w:type="dxa"/>
          </w:tcPr>
          <w:p>
            <w:r>
              <w:t>card1 + P_emaildomain</w:t>
            </w:r>
          </w:p>
        </w:tc>
        <w:tc>
          <w:tcPr>
            <w:tcW w:w="1700" w:type="dxa"/>
          </w:tcPr>
          <w:p>
            <w:r>
              <w:t>0,00</w:t>
            </w:r>
          </w:p>
        </w:tc>
        <w:tc>
          <w:tcPr>
            <w:tcW w:w="1700" w:type="dxa"/>
          </w:tcPr>
          <w:p>
            <w:r>
              <w:t>0,9513</w:t>
            </w:r>
          </w:p>
        </w:tc>
      </w:tr>
      <w:tr>
        <w:tc>
          <w:tcPr>
            <w:tcW w:w="1700" w:type="dxa"/>
          </w:tcPr>
          <w:p>
            <w:r>
              <w:t>uid4</w:t>
            </w:r>
          </w:p>
        </w:tc>
        <w:tc>
          <w:tcPr>
            <w:tcW w:w="2400" w:type="dxa"/>
          </w:tcPr>
          <w:p>
            <w:r>
              <w:t>card1 + addr1 + P_emaildomain</w:t>
            </w:r>
          </w:p>
        </w:tc>
        <w:tc>
          <w:tcPr>
            <w:tcW w:w="1700" w:type="dxa"/>
          </w:tcPr>
          <w:p>
            <w:r>
              <w:t>0,00</w:t>
            </w:r>
          </w:p>
        </w:tc>
        <w:tc>
          <w:tcPr>
            <w:tcW w:w="1700" w:type="dxa"/>
          </w:tcPr>
          <w:p>
            <w:r>
              <w:t>0,9513</w:t>
            </w:r>
          </w:p>
        </w:tc>
      </w:tr>
    </w:tbl>
    <w:p>
      <w:r>
        <w:t>Tabla E10.5. Resultado del post-procesamiento multi-UID — alpha óptimo por UID. Fuente: Elaboración propia.</w:t>
      </w:r>
    </w:p>
    <w:p>
      <w:r>
        <w:t>Resultado crítico: alpha_opt = 0,00 para los 4 UIDs. Ningún UID mejora el AUC OOF sobre las predicciones del seed average. La señal de corrección por comportamiento de cliente que en Etapa 9 aportaba alpha=0,05 ha desaparecido al promediar 3 seeds: las predicciones promediadas ya absorben la varianza que el post-procesamiento UID corregía. El seed averaging y el post-procesamiento UID son técnicas parcialmente redundantes — aplicar ambas simultáneamente anula el efecto individual de cada una.</w:t>
      </w:r>
    </w:p>
    <w:p>
      <w:pPr>
        <w:pStyle w:val="Heading3"/>
      </w:pPr>
      <w:r>
        <w:t>10.D · Validación Kaggle</w:t>
      </w:r>
    </w:p>
    <w:p>
      <w:pPr>
        <w:pStyle w:val="Heading4"/>
      </w:pPr>
      <w:r>
        <w:t>Figura 22. Resultado submission Kaggle — Etapa 10 (UIDs Múltiples + Seed Averaging)</w:t>
      </w:r>
    </w:p>
    <w:p>
      <w:pPr>
        <w:pStyle w:val="Encabezadodelista"/>
      </w:pPr>
      <w:r>
        <w:t>[Figura 22 — Captura Kaggle: submission_etapa10.csv — Public Score 0,9549 — Private Score 0,9249 — Ver archivo: fig_22_etapa10_kaggle_score.png]</w:t>
      </w:r>
    </w:p>
    <w:tbl>
      <w:tblPr>
        <w:tblStyle w:val="Tablaconestilo1"/>
        <w:tblW w:w="7700" w:type="dxa"/>
      </w:tblPr>
      <w:tblGrid>
        <w:gridCol w:w="2400"/>
        <w:gridCol w:w="1800"/>
        <w:gridCol w:w="1800"/>
        <w:gridCol w:w="1700"/>
      </w:tblGrid>
      <w:tr>
        <w:trPr>
          <w:tblHeader/>
        </w:trPr>
        <w:tc>
          <w:tcPr>
            <w:tcW w:w="2400" w:type="dxa"/>
          </w:tcPr>
          <w:p>
            <w:r>
              <w:rPr>
                <w:b/>
              </w:rPr>
              <w:t>Submission</w:t>
            </w:r>
          </w:p>
        </w:tc>
        <w:tc>
          <w:tcPr>
            <w:tcW w:w="1800" w:type="dxa"/>
          </w:tcPr>
          <w:p>
            <w:r>
              <w:rPr>
                <w:b/>
              </w:rPr>
              <w:t>Kaggle Público (20 %)</w:t>
            </w:r>
          </w:p>
        </w:tc>
        <w:tc>
          <w:tcPr>
            <w:tcW w:w="1800" w:type="dxa"/>
          </w:tcPr>
          <w:p>
            <w:r>
              <w:rPr>
                <w:b/>
              </w:rPr>
              <w:t>Kaggle Privado (80 %)</w:t>
            </w:r>
          </w:p>
        </w:tc>
        <w:tc>
          <w:tcPr>
            <w:tcW w:w="1700" w:type="dxa"/>
          </w:tcPr>
          <w:p>
            <w:r>
              <w:rPr>
                <w:b/>
              </w:rPr>
              <w:t>Δ vs. Etapa 9</w:t>
            </w:r>
          </w:p>
        </w:tc>
      </w:tr>
      <w:tr>
        <w:tc>
          <w:tcPr>
            <w:tcW w:w="2400" w:type="dxa"/>
          </w:tcPr>
          <w:p>
            <w:r>
              <w:t>submission.csv (Parte I)</w:t>
            </w:r>
          </w:p>
        </w:tc>
        <w:tc>
          <w:tcPr>
            <w:tcW w:w="1800" w:type="dxa"/>
          </w:tcPr>
          <w:p>
            <w:r>
              <w:t>0,9067</w:t>
            </w:r>
          </w:p>
        </w:tc>
        <w:tc>
          <w:tcPr>
            <w:tcW w:w="1800" w:type="dxa"/>
          </w:tcPr>
          <w:p>
            <w:r>
              <w:t>0,8545</w:t>
            </w:r>
          </w:p>
        </w:tc>
        <w:tc>
          <w:tcPr>
            <w:tcW w:w="1700" w:type="dxa"/>
          </w:tcPr>
          <w:p>
            <w:r>
              <w:t>—</w:t>
            </w:r>
          </w:p>
        </w:tc>
      </w:tr>
      <w:tr>
        <w:tc>
          <w:tcPr>
            <w:tcW w:w="2400" w:type="dxa"/>
          </w:tcPr>
          <w:p>
            <w:r>
              <w:t>submission_etapa7.csv</w:t>
            </w:r>
          </w:p>
        </w:tc>
        <w:tc>
          <w:tcPr>
            <w:tcW w:w="1800" w:type="dxa"/>
          </w:tcPr>
          <w:p>
            <w:r>
              <w:t>0,9554</w:t>
            </w:r>
          </w:p>
        </w:tc>
        <w:tc>
          <w:tcPr>
            <w:tcW w:w="1800" w:type="dxa"/>
          </w:tcPr>
          <w:p>
            <w:r>
              <w:t>0,9254</w:t>
            </w:r>
          </w:p>
        </w:tc>
        <w:tc>
          <w:tcPr>
            <w:tcW w:w="1700" w:type="dxa"/>
          </w:tcPr>
          <w:p>
            <w:r>
              <w:t>+0,0709</w:t>
            </w:r>
          </w:p>
        </w:tc>
      </w:tr>
      <w:tr>
        <w:tc>
          <w:tcPr>
            <w:tcW w:w="2400" w:type="dxa"/>
          </w:tcPr>
          <w:p>
            <w:r>
              <w:t>submission_etapa8.csv</w:t>
            </w:r>
          </w:p>
        </w:tc>
        <w:tc>
          <w:tcPr>
            <w:tcW w:w="1800" w:type="dxa"/>
          </w:tcPr>
          <w:p>
            <w:r>
              <w:t>0,9508</w:t>
            </w:r>
          </w:p>
        </w:tc>
        <w:tc>
          <w:tcPr>
            <w:tcW w:w="1800" w:type="dxa"/>
          </w:tcPr>
          <w:p>
            <w:r>
              <w:t>0,9205</w:t>
            </w:r>
          </w:p>
        </w:tc>
        <w:tc>
          <w:tcPr>
            <w:tcW w:w="1700" w:type="dxa"/>
          </w:tcPr>
          <w:p>
            <w:r>
              <w:t>−0,0049</w:t>
            </w:r>
          </w:p>
        </w:tc>
      </w:tr>
      <w:tr>
        <w:tc>
          <w:tcPr>
            <w:tcW w:w="2400" w:type="dxa"/>
          </w:tcPr>
          <w:p>
            <w:r>
              <w:t>submission_etapa9.csv</w:t>
            </w:r>
          </w:p>
        </w:tc>
        <w:tc>
          <w:tcPr>
            <w:tcW w:w="1800" w:type="dxa"/>
          </w:tcPr>
          <w:p>
            <w:r>
              <w:t>0,9554</w:t>
            </w:r>
          </w:p>
        </w:tc>
        <w:tc>
          <w:tcPr>
            <w:tcW w:w="1800" w:type="dxa"/>
          </w:tcPr>
          <w:p>
            <w:r>
              <w:t>0,9254</w:t>
            </w:r>
          </w:p>
        </w:tc>
        <w:tc>
          <w:tcPr>
            <w:tcW w:w="1700" w:type="dxa"/>
          </w:tcPr>
          <w:p>
            <w:r>
              <w:t>+0,0709</w:t>
            </w:r>
          </w:p>
        </w:tc>
      </w:tr>
      <w:tr>
        <w:tc>
          <w:tcPr>
            <w:tcW w:w="2400" w:type="dxa"/>
          </w:tcPr>
          <w:p>
            <w:r>
              <w:t>submission_etapa10.csv</w:t>
            </w:r>
          </w:p>
        </w:tc>
        <w:tc>
          <w:tcPr>
            <w:tcW w:w="1800" w:type="dxa"/>
          </w:tcPr>
          <w:p>
            <w:r>
              <w:t>0,9549</w:t>
            </w:r>
          </w:p>
        </w:tc>
        <w:tc>
          <w:tcPr>
            <w:tcW w:w="1800" w:type="dxa"/>
          </w:tcPr>
          <w:p>
            <w:r>
              <w:t>0,9249</w:t>
            </w:r>
          </w:p>
        </w:tc>
        <w:tc>
          <w:tcPr>
            <w:tcW w:w="1700" w:type="dxa"/>
          </w:tcPr>
          <w:p>
            <w:r>
              <w:t>−0,0006</w:t>
            </w:r>
          </w:p>
        </w:tc>
      </w:tr>
    </w:tbl>
    <w:p>
      <w:r>
        <w:t>Tabla E10.4. Resultados Kaggle acumulados — todas las etapas del proyecto. Fuente: Elaboración propia.</w:t>
      </w:r>
    </w:p>
    <w:p>
      <w:r>
        <w:t>Tabla E10.5. Resultado del post-procesamiento multi-UID — alpha óptimo por UID (uid1–uid4).</w:t>
      </w:r>
    </w:p>
    <w:p>
      <w:pPr>
        <w:pStyle w:val="Heading3"/>
      </w:pPr>
      <w:r>
        <w:t>10.E · Análisis e Interpretación</w:t>
      </w:r>
    </w:p>
    <w:p>
      <w:r>
        <w:t>El resultado central de Etapa 10 es que ni los UIDs adicionales ni el seed averaging producen mejora sobre el score privado de Etapa 9 (−0,0006 puntos). Este resultado es informativo por tres razones: (1) confirma que el UID original (card1_addr1) ya captura la mayor parte de la identidad del cliente relevante para la predicción; (2) la varianza entre seeds es tan baja (&lt; 0,001 AUC) que el averaging no reduce la varianza de predicción de forma apreciable, sugiriendo que LightGBM con n_estimators=2000 y el esquema GroupKFold está bien estabilizado; (3) el conjunto de features alcanzó un límite de información extraíble con este enfoque —para avanzar se necesitarían representaciones fundamentalmente distintas (grafos, secuencias temporales).</w:t>
      </w:r>
    </w:p>
    <w:p>
      <w:r>
        <w:t>El mejor score del proyecto es el de la Etapa 9: Kaggle Privado 0,9254 (Público 0,9554), situando el sistema en el top 24 % del leaderboard histórico de la competición IEEE-CIS (~1.437 sobre ~6.000 participantes (top 24 %)).</w:t>
      </w:r>
    </w:p>
    <w:p w14:paraId="14B336DC" w14:textId="7B28A2AF">
      <w:pPr>
        <w:pStyle w:val="Heading3"/>
      </w:pPr>
      <w:r>
        <w:t>Metodología — Etapa 7</w:t>
      </w:r>
    </w:p>
    <w:p w14:paraId="59779370" w14:textId="7102A879">
      <w:pPr>
        <w:pStyle w:val="Heading4"/>
      </w:pPr>
      <w:r>
        <w:t>Métricas de clasificación — Etapa 7 (OOF GroupKFold, umbral = 0,68)</w:t>
      </w:r>
    </w:p>
    <w:p w14:paraId="67CD018B" w14:textId="6665C909">
      <w:r>
        <w:t xml:space="preserve">Los resultados completos de clasificación sobre las predicciones OOF del GroupKFold (590.540 transacciones de entrenamiento, umbral óptimo = 0,68) son los siguientes:</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08"/>
        <w:gridCol w:w="1505"/>
        <w:gridCol w:w="1505"/>
        <w:gridCol w:w="1505"/>
        <w:gridCol w:w="1503"/>
      </w:tblGrid>
      <w:tr>
        <w:trPr>
          <w:shd w:val="clear" w:color="auto" w:fill="2E75B6"/>
        </w:trPr>
        <w:tc>
          <w:tcPr>
            <w:tcW w:w="3008" w:type="dxa"/>
            <w:shd w:val="clear" w:fill="2E75B6"/>
          </w:tcPr>
          <w:p w14:paraId="5EE87AE3" w14:textId="3B1D57B9">
            <w:r>
              <w:rPr>
                <w:b/>
                <w:color w:val="FFFFFF"/>
              </w:rPr>
              <w:t>Métrica</w:t>
            </w:r>
          </w:p>
        </w:tc>
        <w:tc>
          <w:tcPr>
            <w:tcW w:w="1505" w:type="dxa"/>
            <w:shd w:val="clear" w:fill="2E75B6"/>
          </w:tcPr>
          <w:p w14:paraId="70F7B3C3" w14:textId="5360EF20">
            <w:pPr>
              <w:jc w:val="center"/>
            </w:pPr>
            <w:r>
              <w:rPr>
                <w:b/>
                <w:color w:val="FFFFFF"/>
              </w:rPr>
              <w:t>Clase 0 (Legítima)</w:t>
            </w:r>
          </w:p>
        </w:tc>
        <w:tc>
          <w:tcPr>
            <w:tcW w:w="1505" w:type="dxa"/>
            <w:shd w:val="clear" w:fill="2E75B6"/>
          </w:tcPr>
          <w:p w14:paraId="1B276D4E" w14:textId="2D784EE6">
            <w:pPr>
              <w:jc w:val="center"/>
            </w:pPr>
            <w:r>
              <w:rPr>
                <w:b/>
                <w:color w:val="FFFFFF"/>
              </w:rPr>
              <w:t>Clase 1 (Fraude)</w:t>
            </w:r>
          </w:p>
        </w:tc>
        <w:tc>
          <w:tcPr>
            <w:tcW w:w="1505" w:type="dxa"/>
            <w:shd w:val="clear" w:fill="2E75B6"/>
          </w:tcPr>
          <w:p w14:paraId="18641C0C" w14:textId="6E484A6C">
            <w:pPr>
              <w:jc w:val="center"/>
            </w:pPr>
            <w:r>
              <w:rPr>
                <w:b/>
                <w:color w:val="FFFFFF"/>
              </w:rPr>
              <w:t>Macro avg</w:t>
            </w:r>
          </w:p>
        </w:tc>
        <w:tc>
          <w:tcPr>
            <w:tcW w:w="1503" w:type="dxa"/>
            <w:shd w:val="clear" w:fill="2E75B6"/>
          </w:tcPr>
          <w:p w14:paraId="531C0652" w14:textId="7468879C">
            <w:pPr>
              <w:jc w:val="center"/>
            </w:pPr>
            <w:r>
              <w:rPr>
                <w:b/>
                <w:color w:val="FFFFFF"/>
              </w:rPr>
              <w:t>Weighted avg</w:t>
            </w:r>
          </w:p>
        </w:tc>
      </w:tr>
      <w:tr>
        <w:tc>
          <w:tcPr>
            <w:tcW w:w="3008" w:type="dxa"/>
          </w:tcPr>
          <w:p w14:paraId="5DE7009E" w14:textId="77DB72E5">
            <w:r>
              <w:t>Precisión</w:t>
            </w:r>
          </w:p>
        </w:tc>
        <w:tc>
          <w:tcPr>
            <w:tcW w:w="1505" w:type="dxa"/>
          </w:tcPr>
          <w:p w14:paraId="38885034" w14:textId="7366304A">
            <w:pPr>
              <w:jc w:val="center"/>
            </w:pPr>
            <w:r>
              <w:t>0,9858</w:t>
            </w:r>
          </w:p>
        </w:tc>
        <w:tc>
          <w:tcPr>
            <w:tcW w:w="1505" w:type="dxa"/>
          </w:tcPr>
          <w:p w14:paraId="67204368" w14:textId="6775284A">
            <w:pPr>
              <w:jc w:val="center"/>
            </w:pPr>
            <w:r>
              <w:rPr>
                <w:b/>
              </w:rPr>
              <w:t>0,7312</w:t>
            </w:r>
          </w:p>
        </w:tc>
        <w:tc>
          <w:tcPr>
            <w:tcW w:w="1505" w:type="dxa"/>
          </w:tcPr>
          <w:p w14:paraId="5CFC7B02" w14:textId="79BE2658">
            <w:pPr>
              <w:jc w:val="center"/>
            </w:pPr>
            <w:r>
              <w:t>0,8585</w:t>
            </w:r>
          </w:p>
        </w:tc>
        <w:tc>
          <w:tcPr>
            <w:tcW w:w="1503" w:type="dxa"/>
          </w:tcPr>
          <w:p w14:paraId="5E0F300E" w14:textId="66E07AA1">
            <w:pPr>
              <w:jc w:val="center"/>
            </w:pPr>
            <w:r>
              <w:t>0,9769</w:t>
            </w:r>
          </w:p>
        </w:tc>
      </w:tr>
      <w:tr>
        <w:tc>
          <w:tcPr>
            <w:tcW w:w="3008" w:type="dxa"/>
          </w:tcPr>
          <w:p w14:paraId="38216C50" w14:textId="6B5338EF">
            <w:r>
              <w:t>Recall</w:t>
            </w:r>
          </w:p>
        </w:tc>
        <w:tc>
          <w:tcPr>
            <w:tcW w:w="1505" w:type="dxa"/>
          </w:tcPr>
          <w:p w14:paraId="3516E41E" w14:textId="609D650D">
            <w:pPr>
              <w:jc w:val="center"/>
            </w:pPr>
            <w:r>
              <w:t>0,9919</w:t>
            </w:r>
          </w:p>
        </w:tc>
        <w:tc>
          <w:tcPr>
            <w:tcW w:w="1505" w:type="dxa"/>
          </w:tcPr>
          <w:p w14:paraId="450D4F59" w14:textId="77013D75">
            <w:pPr>
              <w:jc w:val="center"/>
            </w:pPr>
            <w:r>
              <w:rPr>
                <w:b/>
              </w:rPr>
              <w:t>0,6064</w:t>
            </w:r>
          </w:p>
        </w:tc>
        <w:tc>
          <w:tcPr>
            <w:tcW w:w="1505" w:type="dxa"/>
          </w:tcPr>
          <w:p w14:paraId="58492A65" w14:textId="17EE854A">
            <w:pPr>
              <w:jc w:val="center"/>
            </w:pPr>
            <w:r>
              <w:t>0,7992</w:t>
            </w:r>
          </w:p>
        </w:tc>
        <w:tc>
          <w:tcPr>
            <w:tcW w:w="1503" w:type="dxa"/>
          </w:tcPr>
          <w:p w14:paraId="50BA1480" w14:textId="6475E7DE">
            <w:pPr>
              <w:jc w:val="center"/>
            </w:pPr>
            <w:r>
              <w:t>0,9784</w:t>
            </w:r>
          </w:p>
        </w:tc>
      </w:tr>
      <w:tr>
        <w:tc>
          <w:tcPr>
            <w:tcW w:w="3008" w:type="dxa"/>
          </w:tcPr>
          <w:p w14:paraId="51FEA96F" w14:textId="320801AC">
            <w:r>
              <w:t>F1-score</w:t>
            </w:r>
          </w:p>
        </w:tc>
        <w:tc>
          <w:tcPr>
            <w:tcW w:w="1505" w:type="dxa"/>
          </w:tcPr>
          <w:p w14:paraId="1FB5C88E" w14:textId="5EF1368B">
            <w:pPr>
              <w:jc w:val="center"/>
            </w:pPr>
            <w:r>
              <w:t>0,9889</w:t>
            </w:r>
          </w:p>
        </w:tc>
        <w:tc>
          <w:tcPr>
            <w:tcW w:w="1505" w:type="dxa"/>
          </w:tcPr>
          <w:p w14:paraId="7B708BF1" w14:textId="5B6B777A">
            <w:pPr>
              <w:jc w:val="center"/>
            </w:pPr>
            <w:r>
              <w:rPr>
                <w:b/>
              </w:rPr>
              <w:t>0,6630</w:t>
            </w:r>
          </w:p>
        </w:tc>
        <w:tc>
          <w:tcPr>
            <w:tcW w:w="1505" w:type="dxa"/>
          </w:tcPr>
          <w:p w14:paraId="637363BD" w14:textId="2C15B0AD">
            <w:pPr>
              <w:jc w:val="center"/>
            </w:pPr>
            <w:r>
              <w:t>0,8259</w:t>
            </w:r>
          </w:p>
        </w:tc>
        <w:tc>
          <w:tcPr>
            <w:tcW w:w="1503" w:type="dxa"/>
          </w:tcPr>
          <w:p w14:paraId="3D399900" w14:textId="3315A997">
            <w:pPr>
              <w:jc w:val="center"/>
            </w:pPr>
            <w:r>
              <w:t>0,9775</w:t>
            </w:r>
          </w:p>
        </w:tc>
      </w:tr>
      <w:tr>
        <w:tc>
          <w:tcPr>
            <w:tcW w:w="3008" w:type="dxa"/>
          </w:tcPr>
          <w:p w14:paraId="56654B7A" w14:textId="5FA7BDC9">
            <w:r>
              <w:t>Support</w:t>
            </w:r>
          </w:p>
        </w:tc>
        <w:tc>
          <w:tcPr>
            <w:tcW w:w="1505" w:type="dxa"/>
          </w:tcPr>
          <w:p w14:paraId="461F63B2" w14:textId="3CCFD887">
            <w:pPr>
              <w:jc w:val="center"/>
            </w:pPr>
            <w:r>
              <w:t>569.877</w:t>
            </w:r>
          </w:p>
        </w:tc>
        <w:tc>
          <w:tcPr>
            <w:tcW w:w="1505" w:type="dxa"/>
          </w:tcPr>
          <w:p w14:paraId="3EA823F2" w14:textId="47CC8CA3">
            <w:pPr>
              <w:jc w:val="center"/>
            </w:pPr>
            <w:r>
              <w:t>20.663</w:t>
            </w:r>
          </w:p>
        </w:tc>
        <w:tc>
          <w:tcPr>
            <w:tcW w:w="1505" w:type="dxa"/>
          </w:tcPr>
          <w:p w14:paraId="59C15256" w14:textId="24F4A437">
            <w:pPr>
              <w:jc w:val="center"/>
            </w:pPr>
            <w:r>
              <w:t>—</w:t>
            </w:r>
          </w:p>
        </w:tc>
        <w:tc>
          <w:tcPr>
            <w:tcW w:w="1503" w:type="dxa"/>
          </w:tcPr>
          <w:p w14:paraId="42AADD44" w14:textId="39AB9B10">
            <w:pPr>
              <w:jc w:val="center"/>
            </w:pPr>
            <w:r>
              <w:t>590.540</w:t>
            </w:r>
          </w:p>
        </w:tc>
      </w:tr>
      <w:tr>
        <w:tc>
          <w:tcPr>
            <w:tcW w:w="3008" w:type="dxa"/>
            <w:shd w:val="clear" w:fill="EBF3FB"/>
          </w:tcPr>
          <w:p w14:paraId="139AF75F" w14:textId="690A1ABA">
            <w:r>
              <w:rPr>
                <w:b/>
              </w:rPr>
              <w:t>Accuracy global</w:t>
            </w:r>
          </w:p>
        </w:tc>
        <w:tc>
          <w:tcPr>
            <w:tcW w:w="6018" w:type="dxa"/>
            <w:gridSpan w:val="4"/>
            <w:shd w:val="clear" w:fill="EBF3FB"/>
          </w:tcPr>
          <w:p w14:paraId="558F25E8" w14:textId="75565F55">
            <w:pPr>
              <w:jc w:val="center"/>
            </w:pPr>
            <w:r>
              <w:rPr>
                <w:b/>
              </w:rPr>
              <w:t>0,9784</w:t>
            </w:r>
          </w:p>
        </w:tc>
      </w:tr>
    </w:tbl>
    <w:p w14:paraId="4265481D" w14:textId="1D138B66">
      <w:r>
        <w:t xml:space="preserve">Umbral óptimo: </w:t>
      </w:r>
      <w:r>
        <w:rPr>
          <w:b/>
        </w:rPr>
        <w:t>0,68</w:t>
      </w:r>
      <w:r>
        <w:t xml:space="preserve"> (maximiza F1-score sobre predicciones OOF) | AUC-ROC OOF: </w:t>
      </w:r>
      <w:r>
        <w:rPr>
          <w:b/>
        </w:rPr>
        <w:t>0,9514</w:t>
      </w:r>
      <w:r>
        <w:t xml:space="preserve"> (GroupKFold temporal).</w:t>
      </w:r>
    </w:p>
    <w:p w14:paraId="4DF75470" w14:textId="2D601B06">
      <w:r>
        <w:t xml:space="preserve">Matriz de confusión (590.540 transacciones, umbral = 0,68): TN = 565.271 (95,72 %), FP = 4.606 (0,78 %), FN = 8.132 (1,38 %), TP = 12.531 (2,12 %). El modelo detecta correctamente el 60,6 % de todos los fraudes del conjunto de entrenamiento con una precisión del 73,1 %, generando 4.606 falsas alarmas sobre 569.877 transacciones legítimas (0,81 % de error sobre clase mayoritaria).</w:t>
      </w:r>
    </w:p>
    <w:p w14:paraId="5341FF89" w14:textId="558F40E7">
      <w:pPr>
        <w:pStyle w:val="Heading4"/>
      </w:pPr>
      <w:r>
        <w:t>Pipeline de Ingeniería de Features</w:t>
      </w:r>
    </w:p>
    <w:p w14:paraId="30AE5D14" w14:textId="375581C6">
      <w:r>
        <w:t xml:space="preserve">La Etapa 7 reemplaza la pipeline original de Parte I por un proceso de siete pasos que transforma el dataset de 434 columnas brutas en 255 features de alta calidad, orientadas a capturar el comportamiento del cliente a través del tiempo.</w:t>
      </w:r>
    </w:p>
    <w:p w14:paraId="3F7EF1C6" w14:textId="6CFC733D">
      <w:pPr>
        <w:pStyle w:val="Heading4"/>
      </w:pPr>
      <w:r>
        <w:t>Paso 1 — Selección de columnas V (339 → 100)</w:t>
      </w:r>
    </w:p>
    <w:p w14:paraId="738FC7F9" w14:textId="36988207">
      <w:r>
        <w:t xml:space="preserve">El dataset original contiene 339 columnas V (V1–V339), en su mayoría altamente correlacionadas y con estructuras de NaN similares. Siguiendo a Deotte &amp; Yakovlev (2019), se aplica análisis de grupos por estructura de NaN: columnas con el mismo patrón de valores faltantes forman grupos, y se selecciona la columna de mayor correlación con la variable objetivo dentro de cada grupo. El resultado es un subconjunto de 100 columnas V. Adicionalmente, V322–V339 se excluyen por fallar el test de consistencia temporal (su distribución difiere significativamente entre primeros y últimos meses del dataset).</w:t>
      </w:r>
    </w:p>
    <w:p w14:paraId="2A66C328" w14:textId="56C37D16">
      <w:pPr>
        <w:pStyle w:val="Heading4"/>
      </w:pPr>
      <w:r>
        <w:t>Paso 2 — Normalización temporal de columnas D</w:t>
      </w:r>
    </w:p>
    <w:p w14:paraId="609ED414" w14:textId="321F248B">
      <w:r>
        <w:t xml:space="preserve">Las columnas D1–D15 representan “días desde algún evento de referencia” y crecen monótonamente con el tiempo, introduciendo un drift temporal que impide la generalización. La corrección propuesta por Deotte &amp; Yakovlev (2019) transforma cada D</w:t>
      </w:r>
      <w:r>
        <w:rPr>
          <w:vertAlign w:val="subscript"/>
        </w:rPr>
        <w:t>i</w:t>
      </w:r>
      <w:r>
        <w:t xml:space="preserve"> en su valor relativo: D</w:t>
      </w:r>
      <w:r>
        <w:rPr>
          <w:vertAlign w:val="subscript"/>
        </w:rPr>
        <w:t>i</w:t>
      </w:r>
      <w:r>
        <w:rPr>
          <w:vertAlign w:val="superscript"/>
        </w:rPr>
        <w:t>norm</w:t>
      </w:r>
      <w:r>
        <w:t xml:space="preserve"> = D</w:t>
      </w:r>
      <w:r>
        <w:rPr>
          <w:vertAlign w:val="subscript"/>
        </w:rPr>
        <w:t>i</w:t>
      </w:r>
      <w:r>
        <w:t xml:space="preserve"> − ⌊TransactionDT / 86.400⌋. Esta transformación elimina la dependencia temporal absoluta, permitiendo que el modelo compare valores D entre el entrenamiento y el test de forma directa.</w:t>
      </w:r>
    </w:p>
    <w:p w14:paraId="3F290619" w14:textId="221ADA9A">
      <w:pPr>
        <w:pStyle w:val="Heading4"/>
      </w:pPr>
      <w:r>
        <w:t>Paso 3 — Features derivadas: cents y outsider15</w:t>
      </w:r>
    </w:p>
    <w:p w14:paraId="38B6FC4F" w14:textId="31547EC1">
      <w:r>
        <w:t xml:space="preserve">Se añaden dos features de alta señal: (1) </w:t>
      </w:r>
      <w:r>
        <w:rPr>
          <w:i/>
        </w:rPr>
        <w:t>cents</w:t>
      </w:r>
      <w:r>
        <w:t xml:space="preserve"> = parte fraccionaria de TransactionAmt: las transacciones fraudulentas tienden a usar montos redondeados (cents ≈ 0), mientras las legítimas presentan mayor variabilidad en centavos; y (2) </w:t>
      </w:r>
      <w:r>
        <w:rPr>
          <w:i/>
        </w:rPr>
        <w:t>outsider15</w:t>
      </w:r>
      <w:r>
        <w:t xml:space="preserve"> = |D1 − D15| &gt; 3 (binaria): señaliza comportamiento temporal anómalo del cliente, ya que D1 (días desde inicio de relación) y D15 (días desde último cambio de dirección) deben ser coherentes.</w:t>
      </w:r>
    </w:p>
    <w:p w14:paraId="47671E2B" w14:textId="7C49165B">
      <w:pPr>
        <w:pStyle w:val="Heading4"/>
      </w:pPr>
      <w:r>
        <w:t>Pasos 4–6 — Encoding, UID y Aggregations</w:t>
      </w:r>
    </w:p>
    <w:p w14:paraId="1C8303BA" w14:textId="6DF6D1FE">
      <w:r>
        <w:t xml:space="preserve">Se implementan cuatro funciones de transformación de features: </w:t>
      </w:r>
      <w:r>
        <w:rPr>
          <w:i/>
        </w:rPr>
        <w:t>freq_encode</w:t>
      </w:r>
      <w:r>
        <w:t xml:space="preserve"> (frecuencia relativa del valor en train+test combinados), </w:t>
      </w:r>
      <w:r>
        <w:rPr>
          <w:i/>
        </w:rPr>
        <w:t>label_encode</w:t>
      </w:r>
      <w:r>
        <w:t xml:space="preserve"> (entero ordinal para categóricas, preferido sobre one-hot para modelos de árbol), </w:t>
      </w:r>
      <w:r>
        <w:rPr>
          <w:i/>
        </w:rPr>
        <w:t>agg_encode</w:t>
      </w:r>
      <w:r>
        <w:t xml:space="preserve"> (media y desviación estándar de features por grupo) y </w:t>
      </w:r>
      <w:r>
        <w:rPr>
          <w:i/>
        </w:rPr>
        <w:t>nuniq_encode</w:t>
      </w:r>
      <w:r>
        <w:t xml:space="preserve"> (número de valores únicos por grupo).</w:t>
      </w:r>
    </w:p>
    <w:p w14:paraId="49A267E9" w14:textId="23120F19">
      <w:r>
        <w:t xml:space="preserve">La contribución más importante de las soluciones ganadoras es la construcción del identificador único de cliente (UID): UID = card1_addr1 ∥ ⌊TransactionDay − D1⌋. Dado que D1 representa “días desde que el cliente inició su relación”, la diferencia TransactionDay − D1 estima el día de inicio del cliente, que combinada con la identidad de tarjeta+dirección produce un proxy del cliente real. Sobre este UID se calculan 47 features de agregación (media y std de TransactionAmt, columnas D, C1–C14 y M1–M9; número de valores únicos de emails, distancias e identificadores), que capturan el comportamiento histórico del cliente y permiten al modelo detectar anomalías contextuales. El UID se elimina del dataset antes del entrenamiento para evitar memorizar clientes específicos del train.</w:t>
      </w:r>
    </w:p>
    <w:p w14:paraId="7671F6FC" w14:textId="2445E510">
      <w:pPr>
        <w:pStyle w:val="Heading4"/>
      </w:pPr>
      <w:r>
        <w:t>Paso 7 — Selección de features y tratamiento de NaN</w:t>
      </w:r>
    </w:p>
    <w:p w14:paraId="59D47F5D" w14:textId="5A63FE7F">
      <w:r>
        <w:t xml:space="preserve">Se eliminan sistemáticamente tres tipos de columnas: (a) columnas D con &gt;80 % de NaN (D6, D7, D8, D12, D13, D14); (b) columnas que fallan el test de consistencia temporal (C3, M5, id_08, id_33, card4 y 11 columnas id_); y (c) TransactionDT en crudo. Los valores NaN restantes se imputan con −1, a diferencia de la mediana empleada en Parte I: para modelos GBM, −1 es preferible porque preserva la información de “ausencia de dato” como una señal diferenciada en lugar de forzar una imputación central.</w:t>
      </w:r>
    </w:p>
    <w:p w14:paraId="48528B71" w14:textId="7467B908">
      <w:pPr>
        <w:pStyle w:val="Heading4"/>
      </w:pPr>
      <w:r>
        <w:t>Estrategia de Validación: GroupKFold Temporal</w:t>
      </w:r>
    </w:p>
    <w:p w14:paraId="5DC26435" w14:textId="59A66E0C">
      <w:r>
        <w:t xml:space="preserve">La validación cruzada de Parte I usó StratifiedKFold con split aleatorio (k = 3), que produce estimaciones optimistas al incluir en validación transacciones del mismo período temporal que el entrenamiento. Etapa 7 adopta GroupKFold con el mes calendario como grupo (k = 6, un fold por mes). En cada fold, un mes completo actúa como conjunto de validación y los cinco restantes como entrenamiento, simulando el escenario real de la competición: predecir transacciones futuras con modelos entrenados en el pasado. Este esquema produce un AUC OOF más conservador (0,9514 vs. 0,9680 de Parte I) pero más representativo del rendimiento real en test, lo que se verifica en el leaderboard de Kaggle.</w:t>
      </w:r>
    </w:p>
    <w:p w14:paraId="2DDE1C78" w14:textId="40043CC7">
      <w:pPr>
        <w:pStyle w:val="Heading4"/>
      </w:pPr>
      <w:r>
        <w:t>Comparativa de Parámetros LightGBM: Parte I vs. Etapa 7</w:t>
      </w:r>
    </w:p>
    <w:p w14:paraId="37C0B441" w14:textId="55C3E311">
      <w:r>
        <w:t xml:space="preserve">La Tabla X compara los hiperparámetros LightGBM utilizados en Parte I (encontrados por RandomizedSearchCV con 15 iteraciones) y los de Etapa 7 (fijados basados en las soluciones ganadoras de la competición). Los cambios más determinantes son: (1) colsample_bytree 0,6–1,0 → 0,3: el submuestreo agresivo del 30 % de features por árbol introduce diversidad y reduce el sobreajuste temporal; (2) reg_lambda 0–1 → 3,0: la regularización L2 fuerte penaliza pesos grandes de features específicas de clientes del train, protegiendo la generalización a clientes nuevos; (3) learning_rate 0,005 con n_estimators = 2.000: el esquema de aprendizaje lento y profundo es estándar en competiciones Kaggle con validación temporal (Deotte &amp; Yakovlev, 2019).</w:t>
      </w:r>
    </w:p>
    <w:p w14:paraId="65567AEB" w14:textId="61A8585E">
      <w:pPr>
        <w:pStyle w:val="Heading3"/>
      </w:pPr>
      <w:r>
        <w:t>Metodología — Etapa 8</w:t>
      </w:r>
    </w:p>
    <w:p w14:paraId="44433321" w14:textId="2B9B883D">
      <w:pPr>
        <w:pStyle w:val="Heading4"/>
      </w:pPr>
      <w:r>
        <w:t>Fundamento teórico: Validación Adversarial</w:t>
      </w:r>
    </w:p>
    <w:p w14:paraId="6DA8815A" w14:textId="75082B1C">
      <w:r>
        <w:t xml:space="preserve">La </w:t>
      </w:r>
      <w:r>
        <w:rPr>
          <w:b/>
        </w:rPr>
        <w:t>validación adversarial</w:t>
      </w:r>
      <w:r>
        <w:t xml:space="preserve"> es una técnica de diagnóstico de distribución que cuantifica el grado de </w:t>
      </w:r>
      <w:r>
        <w:rPr>
          <w:i/>
        </w:rPr>
        <w:t>covariate shift</w:t>
      </w:r>
      <w:r>
        <w:t xml:space="preserve"> entre dos conjuntos de datos entrenando un clasificador binario cuyo objetivo es distinguir el origen de cada observación (Prokhorenkova et al., 2018). Si el clasificador alcanza un AUC superior a 0,60, los conjuntos son estadísticamente distinguibles y existe desplazamiento de distribución en alguna feature; si el AUC se aproxima a 0,50, los conjuntos son prácticamente indistinguibles. En el dataset IEEE-CIS, el </w:t>
      </w:r>
      <w:r>
        <w:rPr>
          <w:i/>
        </w:rPr>
        <w:t>covariate shift</w:t>
      </w:r>
      <w:r>
        <w:t xml:space="preserve"> tiene origen temporal: features que codifican información temporal directa o indirectamente presentan distribuciones distintas entre el período de entrenamiento y el de test. La validación adversarial permite identificar objetivamente cuáles son esas features.</w:t>
      </w:r>
    </w:p>
    <w:p w14:paraId="5F6862B2" w14:textId="49E51871">
      <w:pPr>
        <w:pStyle w:val="Heading4"/>
      </w:pPr>
      <w:r>
        <w:t>Pipeline de Etapa 8</w:t>
      </w:r>
    </w:p>
    <w:p w14:paraId="2DD82B28" w14:textId="3A05C5AC">
      <w:r>
        <w:t xml:space="preserve">La Etapa 8 consta de cinco pasos: (1) construcción del dataset adversarial combinando entrenamiento (etiqueta 0, 590.540 transacciones) y test (etiqueta 1, 506.691 transacciones) con las 255 features de Etapa 7; (2) entrenamiento de un LightGBM adversarial con StratifiedKFold × 5 para obtener el AUC base de distinguibilidad; (3) ranking de features por importancia adversarial e identificación del percentil 90 como umbral de eliminación (~25 features); (4) eliminación de las features adversariales y verificación de la reducción del AUC adversarial; y (5) reentrenamiento del modelo de fraude (LightGBM, GroupKFold × 6 meses, parámetros idénticos a Etapa 7) sobre el subset depurado.</w:t>
      </w:r>
    </w:p>
    <w:p w14:paraId="1A4BE99D" w14:textId="53BC22E5">
      <w:pPr>
        <w:pStyle w:val="Heading4"/>
      </w:pPr>
      <w:r>
        <w:t>Parámetros del clasificador adversarial LightGBM</w:t>
      </w:r>
    </w:p>
    <w:p w14:paraId="6F6EEA7B" w14:textId="25EB01A7">
      <w:r>
        <w:t xml:space="preserve">Los parámetros del clasificador adversarial son deliberadamente simples (n_estimators = 500, learning_rate = 0,05, num_leaves = 64, subsample = 0,8, colsample_bytree = 0,8) porque el objetivo es diagnóstico, no rendimiento máximo. Un modelo demasiado complejo podría detectar diferencias espurias entre train y test, inflando el AUC adversarial y llevando a eliminar features genuinamente informativas. Para el modelo de fraude de Etapa 8 se usan los mismos hiperparámetros de Etapa 7 (n_estimators = 2.000, learning_rate = 0,005, num_leaves = 491, colsample_bytree = 0,3, reg_lambda = 3,0), siendo la única variable modificada el espacio de features. Este diseño de experimento control/tratamiento permite aislar el efecto de la selección adversarial como única causa de cualquier diferencia observada en AUC.</w:t>
      </w:r>
    </w:p>
    <w:p w14:paraId="26A594D3" w14:textId="2F9564C5">
      <w:pPr>
        <w:pStyle w:val="Heading4"/>
      </w:pPr>
      <w:r>
        <w:t>Métricas de evaluación específicas de Etapa 8</w:t>
      </w:r>
    </w:p>
    <w:p w14:paraId="7008C288" w14:textId="6B47072F">
      <w:r>
        <w:t xml:space="preserve">Etapa 8 introduce dos métricas adicionales: (1) </w:t>
      </w:r>
      <w:r>
        <w:rPr>
          <w:b/>
        </w:rPr>
        <w:t>AUC adversarial</w:t>
      </w:r>
      <w:r>
        <w:t xml:space="preserve"> (antes y después de la eliminación), que mide directamente la distinguibilidad entre train y test y cuya reducción cuantifica la mejora en estabilidad temporal; y (2) </w:t>
      </w:r>
      <w:r>
        <w:rPr>
          <w:b/>
        </w:rPr>
        <w:t>ΔAUC OOF (Etapa 8 − Etapa 7)</w:t>
      </w:r>
      <w:r>
        <w:t xml:space="preserve">, que mide el impacto de la selección de features sobre la discriminación local. Un valor positivo indica mejora local; un valor neutro o ligeramente negativo es aceptable si el AUC Kaggle privado mejora.</w:t>
      </w:r>
    </w:p>
    <w:p w14:paraId="3A0BDDCE" w14:textId="1612B4F7">
      <w:pPr>
        <w:pStyle w:val="Heading3"/>
      </w:pPr>
      <w:r>
        <w:t>Resultados — Etapa 8: Validación Adversarial y Selección de Features</w:t>
      </w:r>
    </w:p>
    <w:p w14:paraId="408F4145" w14:textId="597A72BC">
      <w:pPr>
        <w:pStyle w:val="Heading4"/>
      </w:pPr>
      <w:r>
        <w:t>8.A – Diagnóstico del Covariate Shift Temporal</w:t>
      </w:r>
    </w:p>
    <w:p w14:paraId="267BADDE" w14:textId="10DD13D0">
      <w:r>
        <w:t xml:space="preserve">La validación adversarial reveló un desplazamiento temporal extremadamente severo entre los conjuntos de entrenamiento y test del dataset IEEE-CIS. El clasificador LightGBM (500 árboles, StratifiedKFold × 5) logró un </w:t>
      </w:r>
      <w:r>
        <w:rPr>
          <w:b/>
        </w:rPr>
        <w:t>AUC adversarial base de 0.9968</w:t>
      </w:r>
      <w:r>
        <w:t xml:space="preserve">, indicando que train y test son prácticamente distinguibles a la perfección. Este valor confirma que el covariate shift temporal en el dataset IEEE-CIS es estructural y profundo.</w:t>
      </w:r>
    </w:p>
    <w:p w14:paraId="2E17A00F" w14:textId="1BBB597F">
      <w:r>
        <w:t xml:space="preserve">Las features más adversariales son las columnas D (D1, D15, D10, D11, D2, D4) y sus agregaciones por UID, que miden distancias temporales que por construcción difieren entre los períodos de train (oct. 2017–may. 2018) y test (jun. 2018–ene. 2019). Aplicando el umbral P90 (importancia &gt; 292) se eliminaron </w:t>
      </w:r>
      <w:r>
        <w:rPr>
          <w:b/>
        </w:rPr>
        <w:t>26 features</w:t>
      </w:r>
      <w:r>
        <w:t xml:space="preserve">, reduciendo el AUC adversarial de 0.9968 a 0.9251 (−0.0717).</w:t>
      </w:r>
    </w:p>
    <w:p w14:paraId="7C2CC28A" w14:textId="642B3590">
      <w:pPr>
        <w:pStyle w:val="Heading4"/>
      </w:pPr>
      <w:r>
        <w:t>8.B – Rendimiento del Modelo con Features Limpias (GroupKFold)</w:t>
      </w:r>
    </w:p>
    <w:p w14:paraId="408AE6DE" w14:textId="1225164E">
      <w:r>
        <w:t xml:space="preserve">El reentrenamiento con los mismos hipérparámetros LightGBM de Etapa 7 sobre el conjunto reducido de 229 features produjo un </w:t>
      </w:r>
      <w:r>
        <w:rPr>
          <w:b/>
        </w:rPr>
        <w:t>AUC OOF de 0.9453</w:t>
      </w:r>
      <w:r>
        <w:t xml:space="preserve"> frente a 0.9514 de Etapa 7 (Δ = −0.0061). La caída de apenas 0.6 puntos porcentuales al eliminar el 10% de features indica que dichas features aportaban principalmente ruido temporal y no señal genuina de fraude.</w:t>
      </w:r>
    </w:p>
    <w:p w14:paraId="526C962F" w14:textId="6E7B9C56">
      <w:pPr>
        <w:pStyle w:val="Heading4"/>
      </w:pPr>
      <w:r>
        <w:t>8.C – Validación Kaggle</w:t>
      </w:r>
    </w:p>
    <w:p w14:paraId="74025D84" w14:textId="4A003044">
      <w:r>
        <w:t xml:space="preserve">La submission generada por Etapa 8 obtuvo un </w:t>
      </w:r>
      <w:r>
        <w:rPr>
          <w:b/>
        </w:rPr>
        <w:t>Public Score de 0.9508</w:t>
      </w:r>
      <w:r>
        <w:t xml:space="preserve"> y un </w:t>
      </w:r>
      <w:r>
        <w:rPr>
          <w:b/>
        </w:rPr>
        <w:t>Private Score de 0.9205</w:t>
      </w:r>
      <w:r>
        <w:t xml:space="preserve">, frente a 0.9554 y 0.9254 respectivamente en Etapa 7. El score privado descendió −0.0049, resultado que expone la tensión estructural del dataset: las columnas D son simultáneamente las más adversariales y las más predictivas, por lo que eliminarlas reduce el shift pero también la señal de fraude genuina.</w:t>
      </w:r>
    </w:p>
    <w:p w14:paraId="6C6B1D49" w14:textId="45A5B226">
      <w:r>
        <w:t xml:space="preserve">Sin embargo, el gap entre validación local y score privado se redujo marginalmente de 0.0260 (Etapa 7) a 0.0248 (Etapa 8), lo que confirma una ligera mejora en la consistencia del modelo. La tabla siguiente resume la evolución acumulada desde Parte I:</w:t>
      </w:r>
    </w:p>
    <w:p w14:paraId="4406B4A2" w14:textId="2F9547CB">
      <w:pPr>
        <w:pStyle w:val="Heading4"/>
      </w:pPr>
      <w:r>
        <w:t>Tabla comparativa acumulada — Parte I, Etapa 7 y Etapa 8</w:t>
      </w:r>
    </w:p>
    <w:p w14:paraId="5A10BEE3" w14:textId="60D9BDA2">
      <w:r>
        <w:t xml:space="preserve">Parte I – LightGBM optimizado: AUC local 0.9680 | Kaggle público 0.9067 | Kaggle privado 0.8545 | Gap 0.1135</w:t>
      </w:r>
    </w:p>
    <w:p w14:paraId="4D3614DF" w14:textId="3ACB20F4">
      <w:r>
        <w:t xml:space="preserve">Etapa 7 – UID + GroupKFold: AUC local 0.9514 | Kaggle público 0.9554 | Kaggle privado 0.9254 | Gap 0.0260 (Δ privado +0.0709)</w:t>
      </w:r>
    </w:p>
    <w:p w14:paraId="396F4FFA" w14:textId="71CDD5F4">
      <w:r>
        <w:t xml:space="preserve">Etapa 8 – Features limpias: AUC local 0.9453 | Kaggle público 0.9508 | Kaggle privado 0.9205 | Gap 0.0248 (Δ privado −0.0049)</w:t>
      </w:r>
    </w:p>
    <w:p w14:paraId="4531EDBE" w14:textId="32E72992">
      <w:pPr>
        <w:pStyle w:val="Heading4"/>
      </w:pPr>
      <w:r>
        <w:t>8.D – Análisis e Interpretación</w:t>
      </w:r>
    </w:p>
    <w:p w14:paraId="759D206A" w14:textId="532B971E">
      <w:r>
        <w:t xml:space="preserve">La Etapa 8 aporta tres lecciones fundamentales para el diseño de modelos de detección de fraude con shift temporal. En primer lugar, el covariate shift en el dataset IEEE-CIS es irreducible mediante selección de features simple: las features más adversariales son también las más informativas. En segundo lugar, la eliminación P90 (−26 features) produce una pérdida de señal de 0.005 que supera la ganancia de consistencia obtenida (gap −0.0012). En tercer lugar, la estrategia óptima no es eliminar features adversariales sino combinar modelos que aprenden señales complementarias, lo que motiva el diseño de la Etapa 9: ensemble LightGBM + XGBoost con post-procesamiento por UID.</w:t>
      </w:r>
    </w:p>
    <w:p w14:paraId="5F542157" w14:textId="5AD853AE" w:rsidR="00CE0B41" w:rsidRPr="0060240E" w:rsidRDefault="00CE0B41" w:rsidP="00234270">
      <w:pPr>
        <w:pStyle w:val="Ttulo1"/>
      </w:pPr>
      <w:bookmarkStart w:id="16" w:name="_Toc229570776"/>
      <w:r>
        <w:lastRenderedPageBreak/>
        <w:t>Referencias</w:t>
      </w:r>
      <w:bookmarkEnd w:id="16"/>
      <w:r>
        <w:t xml:space="preserve"> </w:t>
      </w:r>
    </w:p>
    <w:p w14:paraId="21E96EC4" w14:textId="507DF8C4" w:rsidR="00CE0B41" w:rsidRPr="0060240E" w:rsidRDefault="00CE0B41" w:rsidP="00234270"/>
    <w:p w14:paraId="0BBD5E15" w14:textId="2B3FB5F8" w:rsidR="00234270" w:rsidRPr="0060240E" w:rsidRDefault="00234270" w:rsidP="00234270"/>
    <w:p w14:paraId="1B92C6EC" w14:textId="32D05333" w:rsidR="00CE0B41" w:rsidRPr="0060240E" w:rsidRDefault="00CE0B41" w:rsidP="00234270"/>
    <w:p w14:paraId="7C82AD52" w14:textId="1F3491AA" w:rsidR="00EF1188" w:rsidRPr="0060240E" w:rsidRDefault="00EF1188">
      <w:pPr>
        <w:spacing w:after="0" w:line="240" w:lineRule="auto"/>
        <w:jc w:val="left"/>
        <w:rPr>
          <w:rFonts w:eastAsia="Times New Roman"/>
          <w:b/>
          <w:bCs/>
          <w:sz w:val="36"/>
          <w:szCs w:val="36"/>
          <w:lang w:eastAsia="es-ES_tradnl"/>
        </w:rPr>
      </w:pPr>
      <w:r>
        <w:rPr>
          <w:sz w:val="36"/>
          <w:szCs w:val="36"/>
        </w:rPr>
        <w:br w:type="page"/>
      </w:r>
    </w:p>
    <w:p w14:paraId="3C58E9FF" w14:textId="38750662" w:rsidR="00234270" w:rsidRPr="0060240E" w:rsidRDefault="004A5FA6" w:rsidP="00234270">
      <w:pPr>
        <w:pStyle w:val="Apartado"/>
        <w:spacing w:after="240"/>
        <w:rPr>
          <w:sz w:val="36"/>
          <w:szCs w:val="36"/>
        </w:rPr>
      </w:pPr>
      <w:bookmarkStart w:id="17" w:name="_Toc229570777"/>
      <w:r>
        <w:rPr>
          <w:sz w:val="36"/>
          <w:szCs w:val="36"/>
        </w:rPr>
        <w:lastRenderedPageBreak/>
        <w:t>Anexos</w:t>
      </w:r>
      <w:bookmarkEnd w:id="17"/>
    </w:p>
    <w:p w14:paraId="1E31C1AF" w14:textId="13FB2703" w:rsidR="00234270" w:rsidRPr="00234270" w:rsidRDefault="00234270" w:rsidP="00234270"/>
    <w:p w14:paraId="2779444F" w14:textId="4E996473">
      <w:pPr>
        <w:spacing w:after="160"/>
        <w:ind w:left="720" w:hanging="720"/>
        <w:jc w:val="both"/>
      </w:pPr>
      <w:r>
        <w:t xml:space="preserve">Howard, A., Bouchon-Meunier, B., IEEE CIS, inversion, Lei, J., Lynn@Vesta, Marcus2010, &amp; Abbass, H. (2019). </w:t>
      </w:r>
      <w:r>
        <w:rPr>
          <w:i/>
        </w:rPr>
        <w:t>IEEE-CIS Fraud Detection</w:t>
      </w:r>
      <w:r>
        <w:t xml:space="preserve"> [Competition dataset]. Kaggle. https://kaggle.com/competitions/ieee-fraud-detection</w:t>
      </w:r>
    </w:p>
    <w:p w14:paraId="10C637D5" w14:textId="1DB72E0C"/>
    <w:p w14:paraId="22900636" w14:textId="2696829F">
      <w:pPr>
        <w:pStyle w:val="Ttulo1"/>
      </w:pPr>
      <w:r>
        <w:t>Etapa 9 — Ensemble LightGBM + XGBoost y Post-procesamiento UID</w:t>
      </w:r>
    </w:p>
    <w:p w14:paraId="32BD5A36" w14:textId="7E0203A7">
      <w:r>
        <w:t>La Etapa 9 combina el modelo LightGBM de Etapa 7 (255 features, GroupKFold × 6) con un nuevo modelo XGBoost entrenado con los mismos hiperparámetros de esquema temporal, optimizando los pesos del ensemble sobre las predicciones OOF. Adicionalmente, se aplica un post-procesamiento por UID (card1+addr1) que suaviza las predicciones dentro del mismo cliente, aprovechando la naturaleza agregada del fraude bancario.</w:t>
      </w:r>
    </w:p>
    <w:p w14:paraId="2DD49267" w14:textId="5C70EE3D"/>
    <w:p w14:paraId="269E5E0C" w14:textId="33499CDE">
      <w:pPr>
        <w:pStyle w:val="Ttulo2"/>
      </w:pPr>
      <w:r>
        <w:t>Metodología — Etapa 9</w:t>
      </w:r>
    </w:p>
    <w:p w14:paraId="12ABCCD3" w14:textId="7705403A">
      <w:pPr>
        <w:pStyle w:val="Heading3"/>
      </w:pPr>
      <w:r>
        <w:t>XGBoost GroupKFold × 6</w:t>
      </w:r>
    </w:p>
    <w:p w14:paraId="7922790C" w14:textId="562DEB60">
      <w:r>
        <w:t>XGBoost entrenado con el mismo esquema temporal GroupKFold × 6 que Etapa 7 sobre las 255 features. Parámetros: n_estimators=2000, learning_rate=0.005, max_depth=9, subsample=0.85, colsample_bytree=0.5, min_child_weight=100, scale_pos_weight=27.6, early_stopping_rounds=100, tree_method=hist.</w:t>
      </w:r>
    </w:p>
    <w:p w14:paraId="385C846E" w14:textId="4BB1771B">
      <w:pPr>
        <w:pStyle w:val="Heading3"/>
      </w:pPr>
      <w:r>
        <w:t>Ensemble por pesos OOF</w:t>
      </w:r>
    </w:p>
    <w:p w14:paraId="4E17475E" w14:textId="3D72F2E7">
      <w:r>
        <w:t>Los pesos óptimos se determinan por búsqueda en grilla sobre w ∈ [0, 1] con paso 0.05, maximizando el AUC OOF combinado: pred_ens = w·pred_LGB + (1−w)·pred_XGB.</w:t>
      </w:r>
    </w:p>
    <w:p w14:paraId="46B3C4E9" w14:textId="20BB8160">
      <w:pPr>
        <w:pStyle w:val="Heading3"/>
      </w:pPr>
      <w:r>
        <w:t>Post-procesamiento UID</w:t>
      </w:r>
    </w:p>
    <w:p w14:paraId="45EE72AA" w14:textId="39881A59">
      <w:r>
        <w:t>Para cada transacción de test, se calcula la media de predicciones del ensemble dentro de su grupo UID (card1+addr1). La predicción final es: pred_final = (1−α)·pred_ens + α·mean_UID[pred_ens], con α optimizado sobre OOF.</w:t>
      </w:r>
    </w:p>
    <w:p w14:paraId="776C405F" w14:textId="17BDA555"/>
    <w:p w14:paraId="6DE41A7E" w14:textId="363FD5B9">
      <w:pPr>
        <w:pStyle w:val="Heading4"/>
      </w:pPr>
      <w:r>
        <w:t>Figura 17. Comparativa AUC por Fold — LightGBM vs XGBoost (Etapa 9)</w:t>
      </w:r>
    </w:p>
    <w:p w14:paraId="6BE6C676" w14:textId="57DF6D6B">
      <w:pPr>
        <w:pStyle w:val="Encabezadodelista"/>
      </w:pPr>
      <w:r>
        <w:t>[Figura 17 — Comparativa AUC por fold GroupKFold × 6: LightGBM (Etapa 7) vs XGBoost (Etapa 9). Izquierda: barras comparativas por mes; derecha: correlación OOF (r=0.8817). Ver fig_17_etapa9_fold_comparison.png]</w:t>
      </w:r>
    </w:p>
    <w:p w14:paraId="53413415" w14:textId="6687D1D2"/>
    <w:p w14:paraId="45D7FD9F" w14:textId="4BD0B17B">
      <w:pPr>
        <w:pStyle w:val="Heading4"/>
      </w:pPr>
      <w:r>
        <w:t>Figura 18. Efecto del Post-procesamiento UID — Distribución de Scores (Test)</w:t>
      </w:r>
    </w:p>
    <w:p w14:paraId="35D697C2" w14:textId="44521445">
      <w:pPr>
        <w:pStyle w:val="Encabezadodelista"/>
      </w:pPr>
      <w:r>
        <w:t>[Figura 18 — Distribución de scores del conjunto de test antes y después del post-procesamiento UID (alpha=0.05). Ver fig_18_etapa9_uid_postproc.png]</w:t>
      </w:r>
    </w:p>
    <w:p w14:paraId="49999A10" w14:textId="58812765"/>
    <w:p w14:paraId="4F22A44F" w14:textId="54D6DB5F">
      <w:pPr>
        <w:pStyle w:val="Ttulo2"/>
      </w:pPr>
      <w:r>
        <w:t>Resultados — Etapa 9</w:t>
      </w:r>
    </w:p>
    <w:p w14:paraId="7E2CD60D" w14:textId="716F12C9">
      <w:pPr>
        <w:pStyle w:val="Heading3"/>
      </w:pPr>
      <w:r>
        <w:t>9.A · Rendimiento por Fold (GroupKFold × 6)</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00"/>
        <w:gridCol w:w="1500"/>
        <w:gridCol w:w="3000"/>
        <w:gridCol w:w="3000"/>
      </w:tblGrid>
      <w:tr>
        <w:trPr>
          <w:shd w:val="clear" w:color="auto" w:fill="2E75B6"/>
        </w:trPr>
        <w:tc>
          <w:tcPr>
            <w:tcW w:w="1500" w:type="dxa"/>
            <w:shd w:val="clear" w:fill="2E75B6"/>
          </w:tcPr>
          <w:p w14:paraId="40B7438D" w14:textId="57935B28">
            <w:r>
              <w:rPr>
                <w:b/>
                <w:color w:val="FFFFFF"/>
              </w:rPr>
              <w:t>Fold</w:t>
            </w:r>
          </w:p>
        </w:tc>
        <w:tc>
          <w:tcPr>
            <w:tcW w:w="1500" w:type="dxa"/>
            <w:shd w:val="clear" w:fill="2E75B6"/>
          </w:tcPr>
          <w:p w14:paraId="2BFAF0EA" w14:textId="69262C8B">
            <w:pPr>
              <w:jc w:val="center"/>
            </w:pPr>
            <w:r>
              <w:rPr>
                <w:b/>
                <w:color w:val="FFFFFF"/>
              </w:rPr>
              <w:t>Mes</w:t>
            </w:r>
          </w:p>
        </w:tc>
        <w:tc>
          <w:tcPr>
            <w:tcW w:w="3000" w:type="dxa"/>
            <w:shd w:val="clear" w:fill="2E75B6"/>
          </w:tcPr>
          <w:p w14:paraId="6256B7C7" w14:textId="2A1165D3">
            <w:pPr>
              <w:jc w:val="center"/>
            </w:pPr>
            <w:r>
              <w:rPr>
                <w:b/>
                <w:color w:val="FFFFFF"/>
              </w:rPr>
              <w:t>AUC LightGBM (E7)</w:t>
            </w:r>
          </w:p>
        </w:tc>
        <w:tc>
          <w:tcPr>
            <w:tcW w:w="3000" w:type="dxa"/>
            <w:shd w:val="clear" w:fill="2E75B6"/>
          </w:tcPr>
          <w:p w14:paraId="78BDF8E0" w14:textId="56BA92B0">
            <w:pPr>
              <w:jc w:val="center"/>
            </w:pPr>
            <w:r>
              <w:rPr>
                <w:b/>
                <w:color w:val="FFFFFF"/>
              </w:rPr>
              <w:t>AUC XGBoost (E9)</w:t>
            </w:r>
          </w:p>
        </w:tc>
      </w:tr>
      <w:tr>
        <w:tc>
          <w:tcPr>
            <w:tcW w:w="1500" w:type="dxa"/>
          </w:tcPr>
          <w:p w14:paraId="5CC58599" w14:textId="62CD9217">
            <w:r>
              <w:t>1</w:t>
            </w:r>
          </w:p>
        </w:tc>
        <w:tc>
          <w:tcPr>
            <w:tcW w:w="1500" w:type="dxa"/>
          </w:tcPr>
          <w:p w14:paraId="6C43AF30" w14:textId="4D276D94">
            <w:pPr>
              <w:jc w:val="center"/>
            </w:pPr>
            <w:r>
              <w:t>24216</w:t>
            </w:r>
          </w:p>
        </w:tc>
        <w:tc>
          <w:tcPr>
            <w:tcW w:w="3000" w:type="dxa"/>
          </w:tcPr>
          <w:p w14:paraId="5CD4C584" w14:textId="75372932">
            <w:pPr>
              <w:jc w:val="center"/>
            </w:pPr>
            <w:r>
              <w:t>0,9170</w:t>
            </w:r>
          </w:p>
        </w:tc>
        <w:tc>
          <w:tcPr>
            <w:tcW w:w="3000" w:type="dxa"/>
          </w:tcPr>
          <w:p w14:paraId="223050EB" w14:textId="33EAB97B">
            <w:pPr>
              <w:jc w:val="center"/>
            </w:pPr>
            <w:r>
              <w:t>0,9188</w:t>
            </w:r>
          </w:p>
        </w:tc>
      </w:tr>
      <w:tr>
        <w:tc>
          <w:tcPr>
            <w:tcW w:w="1500" w:type="dxa"/>
          </w:tcPr>
          <w:p w14:paraId="6CAA3061" w14:textId="5D5041FD">
            <w:r>
              <w:t>2</w:t>
            </w:r>
          </w:p>
        </w:tc>
        <w:tc>
          <w:tcPr>
            <w:tcW w:w="1500" w:type="dxa"/>
          </w:tcPr>
          <w:p w14:paraId="4C03A7C8" w14:textId="770557F9">
            <w:pPr>
              <w:jc w:val="center"/>
            </w:pPr>
            <w:r>
              <w:t>24219</w:t>
            </w:r>
          </w:p>
        </w:tc>
        <w:tc>
          <w:tcPr>
            <w:tcW w:w="3000" w:type="dxa"/>
          </w:tcPr>
          <w:p w14:paraId="3319BE1A" w14:textId="5521C408">
            <w:pPr>
              <w:jc w:val="center"/>
            </w:pPr>
            <w:r>
              <w:t>0,9527</w:t>
            </w:r>
          </w:p>
        </w:tc>
        <w:tc>
          <w:tcPr>
            <w:tcW w:w="3000" w:type="dxa"/>
          </w:tcPr>
          <w:p w14:paraId="5FE0DB3F" w14:textId="10F2BC62">
            <w:pPr>
              <w:jc w:val="center"/>
            </w:pPr>
            <w:r>
              <w:t>0,9487</w:t>
            </w:r>
          </w:p>
        </w:tc>
      </w:tr>
      <w:tr>
        <w:tc>
          <w:tcPr>
            <w:tcW w:w="1500" w:type="dxa"/>
          </w:tcPr>
          <w:p w14:paraId="44721C6F" w14:textId="5FAB34EA">
            <w:r>
              <w:t>3</w:t>
            </w:r>
          </w:p>
        </w:tc>
        <w:tc>
          <w:tcPr>
            <w:tcW w:w="1500" w:type="dxa"/>
          </w:tcPr>
          <w:p w14:paraId="70CEE4AD" w14:textId="4AAF2235">
            <w:pPr>
              <w:jc w:val="center"/>
            </w:pPr>
            <w:r>
              <w:t>24217</w:t>
            </w:r>
          </w:p>
        </w:tc>
        <w:tc>
          <w:tcPr>
            <w:tcW w:w="3000" w:type="dxa"/>
          </w:tcPr>
          <w:p w14:paraId="5F91152C" w14:textId="7FDC32CB">
            <w:pPr>
              <w:jc w:val="center"/>
            </w:pPr>
            <w:r>
              <w:t>0,9481</w:t>
            </w:r>
          </w:p>
        </w:tc>
        <w:tc>
          <w:tcPr>
            <w:tcW w:w="3000" w:type="dxa"/>
          </w:tcPr>
          <w:p w14:paraId="353A51D4" w14:textId="359B980E">
            <w:pPr>
              <w:jc w:val="center"/>
            </w:pPr>
            <w:r>
              <w:t>0,9421</w:t>
            </w:r>
          </w:p>
        </w:tc>
      </w:tr>
      <w:tr>
        <w:tc>
          <w:tcPr>
            <w:tcW w:w="1500" w:type="dxa"/>
          </w:tcPr>
          <w:p w14:paraId="57D18BAC" w14:textId="3BC7CD92">
            <w:r>
              <w:t>4</w:t>
            </w:r>
          </w:p>
        </w:tc>
        <w:tc>
          <w:tcPr>
            <w:tcW w:w="1500" w:type="dxa"/>
          </w:tcPr>
          <w:p w14:paraId="715C3AFB" w14:textId="3E168FC7">
            <w:pPr>
              <w:jc w:val="center"/>
            </w:pPr>
            <w:r>
              <w:t>24221</w:t>
            </w:r>
          </w:p>
        </w:tc>
        <w:tc>
          <w:tcPr>
            <w:tcW w:w="3000" w:type="dxa"/>
          </w:tcPr>
          <w:p w14:paraId="6D3C97F8" w14:textId="4B24155E">
            <w:pPr>
              <w:jc w:val="center"/>
            </w:pPr>
            <w:r>
              <w:t>0,9426</w:t>
            </w:r>
          </w:p>
        </w:tc>
        <w:tc>
          <w:tcPr>
            <w:tcW w:w="3000" w:type="dxa"/>
          </w:tcPr>
          <w:p w14:paraId="5D50A19C" w14:textId="68A9E9EE">
            <w:pPr>
              <w:jc w:val="center"/>
            </w:pPr>
            <w:r>
              <w:t>0,9429</w:t>
            </w:r>
          </w:p>
        </w:tc>
      </w:tr>
      <w:tr>
        <w:tc>
          <w:tcPr>
            <w:tcW w:w="1500" w:type="dxa"/>
          </w:tcPr>
          <w:p w14:paraId="45371221" w14:textId="4C5EA2CB">
            <w:r>
              <w:t>5</w:t>
            </w:r>
          </w:p>
        </w:tc>
        <w:tc>
          <w:tcPr>
            <w:tcW w:w="1500" w:type="dxa"/>
          </w:tcPr>
          <w:p w14:paraId="7EB4F02B" w14:textId="3A3A83FC">
            <w:pPr>
              <w:jc w:val="center"/>
            </w:pPr>
            <w:r>
              <w:t>24218</w:t>
            </w:r>
          </w:p>
        </w:tc>
        <w:tc>
          <w:tcPr>
            <w:tcW w:w="3000" w:type="dxa"/>
          </w:tcPr>
          <w:p w14:paraId="2CDE49BA" w14:textId="75AD9291">
            <w:pPr>
              <w:jc w:val="center"/>
            </w:pPr>
            <w:r>
              <w:t>0,9561</w:t>
            </w:r>
          </w:p>
        </w:tc>
        <w:tc>
          <w:tcPr>
            <w:tcW w:w="3000" w:type="dxa"/>
          </w:tcPr>
          <w:p w14:paraId="15F726CC" w14:textId="2D628BAF">
            <w:pPr>
              <w:jc w:val="center"/>
            </w:pPr>
            <w:r>
              <w:t>0,9517</w:t>
            </w:r>
          </w:p>
        </w:tc>
      </w:tr>
      <w:tr>
        <w:tc>
          <w:tcPr>
            <w:tcW w:w="1500" w:type="dxa"/>
          </w:tcPr>
          <w:p w14:paraId="2F513C6A" w14:textId="538DA3E1">
            <w:r>
              <w:t>6</w:t>
            </w:r>
          </w:p>
        </w:tc>
        <w:tc>
          <w:tcPr>
            <w:tcW w:w="1500" w:type="dxa"/>
          </w:tcPr>
          <w:p w14:paraId="4EBDD959" w14:textId="76779079">
            <w:pPr>
              <w:jc w:val="center"/>
            </w:pPr>
            <w:r>
              <w:t>24220</w:t>
            </w:r>
          </w:p>
        </w:tc>
        <w:tc>
          <w:tcPr>
            <w:tcW w:w="3000" w:type="dxa"/>
          </w:tcPr>
          <w:p w14:paraId="2E9A31A3" w14:textId="1CBF600D">
            <w:pPr>
              <w:jc w:val="center"/>
            </w:pPr>
            <w:r>
              <w:t>0,9590</w:t>
            </w:r>
          </w:p>
        </w:tc>
        <w:tc>
          <w:tcPr>
            <w:tcW w:w="3000" w:type="dxa"/>
          </w:tcPr>
          <w:p w14:paraId="40629D09" w14:textId="45E34AF5">
            <w:pPr>
              <w:jc w:val="center"/>
            </w:pPr>
            <w:r>
              <w:t>0,9540</w:t>
            </w:r>
          </w:p>
        </w:tc>
      </w:tr>
      <w:tr>
        <w:tc>
          <w:tcPr>
            <w:tcW w:w="1500" w:type="dxa"/>
            <w:shd w:val="clear" w:fill="EBF3FB"/>
          </w:tcPr>
          <w:p w14:paraId="3AF3288D" w14:textId="4A65A8DE">
            <w:r>
              <w:t>OOF</w:t>
            </w:r>
          </w:p>
        </w:tc>
        <w:tc>
          <w:tcPr>
            <w:tcW w:w="1500" w:type="dxa"/>
            <w:shd w:val="clear" w:fill="EBF3FB"/>
          </w:tcPr>
          <w:p w14:paraId="71BE8246" w14:textId="4AB6A76F">
            <w:pPr>
              <w:jc w:val="center"/>
            </w:pPr>
            <w:r>
              <w:t>—</w:t>
            </w:r>
          </w:p>
        </w:tc>
        <w:tc>
          <w:tcPr>
            <w:tcW w:w="3000" w:type="dxa"/>
            <w:shd w:val="clear" w:fill="EBF3FB"/>
          </w:tcPr>
          <w:p w14:paraId="1D3A0669" w14:textId="6CA8081C">
            <w:pPr>
              <w:jc w:val="center"/>
            </w:pPr>
            <w:r>
              <w:t>0,9514</w:t>
            </w:r>
          </w:p>
        </w:tc>
        <w:tc>
          <w:tcPr>
            <w:tcW w:w="3000" w:type="dxa"/>
            <w:shd w:val="clear" w:fill="EBF3FB"/>
          </w:tcPr>
          <w:p w14:paraId="37007869" w14:textId="7E46BB14">
            <w:pPr>
              <w:jc w:val="center"/>
            </w:pPr>
            <w:r>
              <w:t>0,9422</w:t>
            </w:r>
          </w:p>
        </w:tc>
      </w:tr>
    </w:tbl>
    <w:p w14:paraId="1394AF9F" w14:textId="58D0B4F7">
      <w:r>
        <w:t>La correlación entre las predicciones OOF de ambos modelos es r = 0.8817. Ambos modelos aprenden principalmente el mismo patrón temporal de fraude, limitando la ganancia de diversidad en el ensemble.</w:t>
      </w:r>
    </w:p>
    <w:p w14:paraId="4372A05B" w14:textId="17ED163E">
      <w:pPr>
        <w:pStyle w:val="Heading3"/>
      </w:pPr>
      <w:r>
        <w:t>9.B · Optimización del Ensemble y Post-procesamiento</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00"/>
        <w:gridCol w:w="2000"/>
        <w:gridCol w:w="2500"/>
      </w:tblGrid>
      <w:tr>
        <w:trPr>
          <w:shd w:val="clear" w:color="auto" w:fill="2E75B6"/>
        </w:trPr>
        <w:tc>
          <w:tcPr>
            <w:tcW w:w="4500" w:type="dxa"/>
            <w:shd w:val="clear" w:fill="2E75B6"/>
          </w:tcPr>
          <w:p w14:paraId="7D4474D0" w14:textId="3A2DAED6">
            <w:r>
              <w:rPr>
                <w:b/>
                <w:color w:val="FFFFFF"/>
              </w:rPr>
              <w:t>Modelo / Configuración</w:t>
            </w:r>
          </w:p>
        </w:tc>
        <w:tc>
          <w:tcPr>
            <w:tcW w:w="2000" w:type="dxa"/>
            <w:shd w:val="clear" w:fill="2E75B6"/>
          </w:tcPr>
          <w:p w14:paraId="6B22ABC9" w14:textId="4A9C4483">
            <w:pPr>
              <w:jc w:val="center"/>
            </w:pPr>
            <w:r>
              <w:rPr>
                <w:b/>
                <w:color w:val="FFFFFF"/>
              </w:rPr>
              <w:t>AUC OOF</w:t>
            </w:r>
          </w:p>
        </w:tc>
        <w:tc>
          <w:tcPr>
            <w:tcW w:w="2500" w:type="dxa"/>
            <w:shd w:val="clear" w:fill="2E75B6"/>
          </w:tcPr>
          <w:p w14:paraId="661C5FEB" w14:textId="3A2FC791">
            <w:pPr>
              <w:jc w:val="center"/>
            </w:pPr>
            <w:r>
              <w:rPr>
                <w:b/>
                <w:color w:val="FFFFFF"/>
              </w:rPr>
              <w:t>Δ vs LGB solo</w:t>
            </w:r>
          </w:p>
        </w:tc>
      </w:tr>
      <w:tr>
        <w:tc>
          <w:tcPr>
            <w:tcW w:w="4500" w:type="dxa"/>
          </w:tcPr>
          <w:p w14:paraId="372C997E" w14:textId="78F91D5D">
            <w:r>
              <w:t>LightGBM solo (Etapa 7)</w:t>
            </w:r>
          </w:p>
        </w:tc>
        <w:tc>
          <w:tcPr>
            <w:tcW w:w="2000" w:type="dxa"/>
          </w:tcPr>
          <w:p w14:paraId="6D261745" w14:textId="55BB9FBA">
            <w:pPr>
              <w:jc w:val="center"/>
            </w:pPr>
            <w:r>
              <w:t>0,9514</w:t>
            </w:r>
          </w:p>
        </w:tc>
        <w:tc>
          <w:tcPr>
            <w:tcW w:w="2500" w:type="dxa"/>
          </w:tcPr>
          <w:p w14:paraId="21983F9A" w14:textId="67BB5754">
            <w:pPr>
              <w:jc w:val="center"/>
            </w:pPr>
            <w:r>
              <w:t>—</w:t>
            </w:r>
          </w:p>
        </w:tc>
      </w:tr>
      <w:tr>
        <w:tc>
          <w:tcPr>
            <w:tcW w:w="4500" w:type="dxa"/>
          </w:tcPr>
          <w:p w14:paraId="311D0F59" w14:textId="607A740B">
            <w:r>
              <w:t>XGBoost solo (Etapa 9)</w:t>
            </w:r>
          </w:p>
        </w:tc>
        <w:tc>
          <w:tcPr>
            <w:tcW w:w="2000" w:type="dxa"/>
          </w:tcPr>
          <w:p w14:paraId="4DEC8F3F" w14:textId="6AF7CA74">
            <w:pPr>
              <w:jc w:val="center"/>
            </w:pPr>
            <w:r>
              <w:t>0,9422</w:t>
            </w:r>
          </w:p>
        </w:tc>
        <w:tc>
          <w:tcPr>
            <w:tcW w:w="2500" w:type="dxa"/>
          </w:tcPr>
          <w:p w14:paraId="3D9DBD74" w14:textId="2027FB73">
            <w:pPr>
              <w:jc w:val="center"/>
            </w:pPr>
            <w:r>
              <w:t>−0,0092</w:t>
            </w:r>
          </w:p>
        </w:tc>
      </w:tr>
      <w:tr>
        <w:tc>
          <w:tcPr>
            <w:tcW w:w="4500" w:type="dxa"/>
          </w:tcPr>
          <w:p w14:paraId="4CDE5725" w14:textId="4B5B5487">
            <w:r>
              <w:t>Ensemble w_LGB=0.95 + w_XGB=0.05</w:t>
            </w:r>
          </w:p>
        </w:tc>
        <w:tc>
          <w:tcPr>
            <w:tcW w:w="2000" w:type="dxa"/>
          </w:tcPr>
          <w:p w14:paraId="7C2ADE93" w14:textId="1C99830D">
            <w:pPr>
              <w:jc w:val="center"/>
            </w:pPr>
            <w:r>
              <w:t>0,9515</w:t>
            </w:r>
          </w:p>
        </w:tc>
        <w:tc>
          <w:tcPr>
            <w:tcW w:w="2500" w:type="dxa"/>
          </w:tcPr>
          <w:p w14:paraId="7293369D" w14:textId="2D83F2A0">
            <w:pPr>
              <w:jc w:val="center"/>
            </w:pPr>
            <w:r>
              <w:t>+0,0001</w:t>
            </w:r>
          </w:p>
        </w:tc>
      </w:tr>
      <w:tr>
        <w:tc>
          <w:tcPr>
            <w:tcW w:w="4500" w:type="dxa"/>
            <w:shd w:val="clear" w:fill="EBF3FB"/>
          </w:tcPr>
          <w:p w14:paraId="335E4C17" w14:textId="7644CB5C">
            <w:r>
              <w:t>Ensemble + UID (alpha=0.05)</w:t>
            </w:r>
          </w:p>
        </w:tc>
        <w:tc>
          <w:tcPr>
            <w:tcW w:w="2000" w:type="dxa"/>
            <w:shd w:val="clear" w:fill="EBF3FB"/>
          </w:tcPr>
          <w:p w14:paraId="5DC15668" w14:textId="15D49B09">
            <w:pPr>
              <w:jc w:val="center"/>
            </w:pPr>
            <w:r>
              <w:t>0,9517</w:t>
            </w:r>
          </w:p>
        </w:tc>
        <w:tc>
          <w:tcPr>
            <w:tcW w:w="2500" w:type="dxa"/>
            <w:shd w:val="clear" w:fill="EBF3FB"/>
          </w:tcPr>
          <w:p w14:paraId="4A7BED33" w14:textId="3ECAA621">
            <w:pPr>
              <w:jc w:val="center"/>
            </w:pPr>
            <w:r>
              <w:t>+0,0003</w:t>
            </w:r>
          </w:p>
        </w:tc>
      </w:tr>
    </w:tbl>
    <w:p w14:paraId="22A5A894" w14:textId="600AA036">
      <w:r>
        <w:t>Peso óptimo: w_LGB = 0,95 / w_XGB = 0,05. Alpha óptimo UID: 0,05 (AUC OOF: 0,9517). El post-procesamiento UID reduce la varianza de predicción (std: 0,1630 → 0,1587) manteniendo la media invariante (0,0767).</w:t>
      </w:r>
    </w:p>
    <w:p w14:paraId="14977D20" w14:textId="7BBD1B2E">
      <w:pPr>
        <w:pStyle w:val="Heading3"/>
      </w:pPr>
      <w:r>
        <w:t>9.C · Validación Kaggle (submission_etapa9.csv)</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00"/>
        <w:gridCol w:w="1700"/>
        <w:gridCol w:w="1700"/>
        <w:gridCol w:w="1700"/>
        <w:gridCol w:w="1100"/>
      </w:tblGrid>
      <w:tr>
        <w:trPr>
          <w:shd w:val="clear" w:color="auto" w:fill="2E75B6"/>
        </w:trPr>
        <w:tc>
          <w:tcPr>
            <w:tcW w:w="2800" w:type="dxa"/>
            <w:shd w:val="clear" w:fill="2E75B6"/>
          </w:tcPr>
          <w:p w14:paraId="4274A4B9" w14:textId="1A8B8966">
            <w:r>
              <w:rPr>
                <w:b/>
                <w:color w:val="FFFFFF"/>
              </w:rPr>
              <w:t>Etapa</w:t>
            </w:r>
          </w:p>
        </w:tc>
        <w:tc>
          <w:tcPr>
            <w:tcW w:w="1700" w:type="dxa"/>
            <w:shd w:val="clear" w:fill="2E75B6"/>
          </w:tcPr>
          <w:p w14:paraId="1AD39CA1" w14:textId="321D5C09">
            <w:pPr>
              <w:jc w:val="center"/>
            </w:pPr>
            <w:r>
              <w:rPr>
                <w:b/>
                <w:color w:val="FFFFFF"/>
              </w:rPr>
              <w:t>AUC local (OOF)</w:t>
            </w:r>
          </w:p>
        </w:tc>
        <w:tc>
          <w:tcPr>
            <w:tcW w:w="1700" w:type="dxa"/>
            <w:shd w:val="clear" w:fill="2E75B6"/>
          </w:tcPr>
          <w:p w14:paraId="36C5C438" w14:textId="7962F386">
            <w:pPr>
              <w:jc w:val="center"/>
            </w:pPr>
            <w:r>
              <w:rPr>
                <w:b/>
                <w:color w:val="FFFFFF"/>
              </w:rPr>
              <w:t>Kaggle público</w:t>
            </w:r>
          </w:p>
        </w:tc>
        <w:tc>
          <w:tcPr>
            <w:tcW w:w="1700" w:type="dxa"/>
            <w:shd w:val="clear" w:fill="2E75B6"/>
          </w:tcPr>
          <w:p w14:paraId="4EC299B1" w14:textId="328555BD">
            <w:pPr>
              <w:jc w:val="center"/>
            </w:pPr>
            <w:r>
              <w:rPr>
                <w:b/>
                <w:color w:val="FFFFFF"/>
              </w:rPr>
              <w:t>Kaggle privado</w:t>
            </w:r>
          </w:p>
        </w:tc>
        <w:tc>
          <w:tcPr>
            <w:tcW w:w="1100" w:type="dxa"/>
            <w:shd w:val="clear" w:fill="2E75B6"/>
          </w:tcPr>
          <w:p w14:paraId="16042D06" w14:textId="4C6DF257">
            <w:pPr>
              <w:jc w:val="center"/>
            </w:pPr>
            <w:r>
              <w:rPr>
                <w:b/>
                <w:color w:val="FFFFFF"/>
              </w:rPr>
              <w:t>Δ privado vs E7</w:t>
            </w:r>
          </w:p>
        </w:tc>
      </w:tr>
      <w:tr>
        <w:tc>
          <w:tcPr>
            <w:tcW w:w="2800" w:type="dxa"/>
          </w:tcPr>
          <w:p w14:paraId="5F26448A" w14:textId="2A789474">
            <w:r>
              <w:t>Parte I — LightGBM opt.</w:t>
            </w:r>
          </w:p>
        </w:tc>
        <w:tc>
          <w:tcPr>
            <w:tcW w:w="1700" w:type="dxa"/>
          </w:tcPr>
          <w:p w14:paraId="5393377C" w14:textId="6A94244A">
            <w:pPr>
              <w:jc w:val="center"/>
            </w:pPr>
            <w:r>
              <w:t>0,9680</w:t>
            </w:r>
          </w:p>
        </w:tc>
        <w:tc>
          <w:tcPr>
            <w:tcW w:w="1700" w:type="dxa"/>
          </w:tcPr>
          <w:p w14:paraId="741F4703" w14:textId="63FFF715">
            <w:pPr>
              <w:jc w:val="center"/>
            </w:pPr>
            <w:r>
              <w:t>0,9067</w:t>
            </w:r>
          </w:p>
        </w:tc>
        <w:tc>
          <w:tcPr>
            <w:tcW w:w="1700" w:type="dxa"/>
          </w:tcPr>
          <w:p w14:paraId="7F356FF3" w14:textId="54AE6E86">
            <w:pPr>
              <w:jc w:val="center"/>
            </w:pPr>
            <w:r>
              <w:t>0,8545</w:t>
            </w:r>
          </w:p>
        </w:tc>
        <w:tc>
          <w:tcPr>
            <w:tcW w:w="1100" w:type="dxa"/>
          </w:tcPr>
          <w:p w14:paraId="45335EBB" w14:textId="5305C1F2">
            <w:pPr>
              <w:jc w:val="center"/>
            </w:pPr>
            <w:r>
              <w:t>—</w:t>
            </w:r>
          </w:p>
        </w:tc>
      </w:tr>
      <w:tr>
        <w:tc>
          <w:tcPr>
            <w:tcW w:w="2800" w:type="dxa"/>
          </w:tcPr>
          <w:p w14:paraId="6B766664" w14:textId="3251CF96">
            <w:r>
              <w:t>Etapa 7 — UID + GroupKFold</w:t>
            </w:r>
          </w:p>
        </w:tc>
        <w:tc>
          <w:tcPr>
            <w:tcW w:w="1700" w:type="dxa"/>
          </w:tcPr>
          <w:p w14:paraId="225826DD" w14:textId="7230B336">
            <w:pPr>
              <w:jc w:val="center"/>
            </w:pPr>
            <w:r>
              <w:t>0,9514</w:t>
            </w:r>
          </w:p>
        </w:tc>
        <w:tc>
          <w:tcPr>
            <w:tcW w:w="1700" w:type="dxa"/>
          </w:tcPr>
          <w:p w14:paraId="5AAC1148" w14:textId="2E5F38EE">
            <w:pPr>
              <w:jc w:val="center"/>
            </w:pPr>
            <w:r>
              <w:t>0,9554</w:t>
            </w:r>
          </w:p>
        </w:tc>
        <w:tc>
          <w:tcPr>
            <w:tcW w:w="1700" w:type="dxa"/>
          </w:tcPr>
          <w:p w14:paraId="23F2F67C" w14:textId="795EFF61">
            <w:pPr>
              <w:jc w:val="center"/>
            </w:pPr>
            <w:r>
              <w:t>0,9254</w:t>
            </w:r>
          </w:p>
        </w:tc>
        <w:tc>
          <w:tcPr>
            <w:tcW w:w="1100" w:type="dxa"/>
          </w:tcPr>
          <w:p w14:paraId="16D00A10" w14:textId="27C10EBE">
            <w:pPr>
              <w:jc w:val="center"/>
            </w:pPr>
            <w:r>
              <w:t>+0,0709</w:t>
            </w:r>
          </w:p>
        </w:tc>
      </w:tr>
      <w:tr>
        <w:tc>
          <w:tcPr>
            <w:tcW w:w="2800" w:type="dxa"/>
          </w:tcPr>
          <w:p w14:paraId="76275BDF" w14:textId="1B9E9C73">
            <w:r>
              <w:t>Etapa 8 — features limpias</w:t>
            </w:r>
          </w:p>
        </w:tc>
        <w:tc>
          <w:tcPr>
            <w:tcW w:w="1700" w:type="dxa"/>
          </w:tcPr>
          <w:p w14:paraId="78EABFBB" w14:textId="683C81DC">
            <w:pPr>
              <w:jc w:val="center"/>
            </w:pPr>
            <w:r>
              <w:t>0,9453</w:t>
            </w:r>
          </w:p>
        </w:tc>
        <w:tc>
          <w:tcPr>
            <w:tcW w:w="1700" w:type="dxa"/>
          </w:tcPr>
          <w:p w14:paraId="4A00C085" w14:textId="7B87EBA5">
            <w:pPr>
              <w:jc w:val="center"/>
            </w:pPr>
            <w:r>
              <w:t>0,9508</w:t>
            </w:r>
          </w:p>
        </w:tc>
        <w:tc>
          <w:tcPr>
            <w:tcW w:w="1700" w:type="dxa"/>
          </w:tcPr>
          <w:p w14:paraId="701ABDA1" w14:textId="5CC03A72">
            <w:pPr>
              <w:jc w:val="center"/>
            </w:pPr>
            <w:r>
              <w:t>0,9205</w:t>
            </w:r>
          </w:p>
        </w:tc>
        <w:tc>
          <w:tcPr>
            <w:tcW w:w="1100" w:type="dxa"/>
          </w:tcPr>
          <w:p w14:paraId="3A61A3BC" w14:textId="4D073599">
            <w:pPr>
              <w:jc w:val="center"/>
            </w:pPr>
            <w:r>
              <w:t>−0,0049</w:t>
            </w:r>
          </w:p>
        </w:tc>
      </w:tr>
      <w:tr>
        <w:tc>
          <w:tcPr>
            <w:tcW w:w="2800" w:type="dxa"/>
            <w:shd w:val="clear" w:fill="EBF3FB"/>
          </w:tcPr>
          <w:p w14:paraId="5B549DAE" w14:textId="5522198F">
            <w:r>
              <w:t>Etapa 9 — Ensemble + UID</w:t>
            </w:r>
          </w:p>
        </w:tc>
        <w:tc>
          <w:tcPr>
            <w:tcW w:w="1700" w:type="dxa"/>
            <w:shd w:val="clear" w:fill="EBF3FB"/>
          </w:tcPr>
          <w:p w14:paraId="223ADEC6" w14:textId="34D79907">
            <w:pPr>
              <w:jc w:val="center"/>
            </w:pPr>
            <w:r>
              <w:t>0,9517</w:t>
            </w:r>
          </w:p>
        </w:tc>
        <w:tc>
          <w:tcPr>
            <w:tcW w:w="1700" w:type="dxa"/>
            <w:shd w:val="clear" w:fill="EBF3FB"/>
          </w:tcPr>
          <w:p w14:paraId="7AA33399" w14:textId="32F42302">
            <w:pPr>
              <w:jc w:val="center"/>
            </w:pPr>
            <w:r>
              <w:t>0,9554</w:t>
            </w:r>
          </w:p>
        </w:tc>
        <w:tc>
          <w:tcPr>
            <w:tcW w:w="1700" w:type="dxa"/>
            <w:shd w:val="clear" w:fill="EBF3FB"/>
          </w:tcPr>
          <w:p w14:paraId="795F501D" w14:textId="558CF7CD">
            <w:pPr>
              <w:jc w:val="center"/>
            </w:pPr>
            <w:r>
              <w:t>0,9254</w:t>
            </w:r>
          </w:p>
        </w:tc>
        <w:tc>
          <w:tcPr>
            <w:tcW w:w="1100" w:type="dxa"/>
            <w:shd w:val="clear" w:fill="EBF3FB"/>
          </w:tcPr>
          <w:p w14:paraId="6D25D747" w14:textId="4B630B3A">
            <w:pPr>
              <w:jc w:val="center"/>
            </w:pPr>
            <w:r>
              <w:t>+0,0000</w:t>
            </w:r>
          </w:p>
        </w:tc>
      </w:tr>
    </w:tbl>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00"/>
        <w:gridCol w:w="1800"/>
        <w:gridCol w:w="1800"/>
        <w:gridCol w:w="1800"/>
        <w:gridCol w:w="1600"/>
      </w:tblGrid>
      <w:tr>
        <w:trPr>
          <w:shd w:val="clear" w:color="auto" w:fill="2E75B6"/>
        </w:trPr>
        <w:tc>
          <w:tcPr>
            <w:tcW w:w="2000" w:type="dxa"/>
            <w:shd w:val="clear" w:fill="2E75B6"/>
          </w:tcPr>
          <w:p w14:paraId="72E6A46B" w14:textId="2C7201E8">
            <w:r>
              <w:rPr>
                <w:b/>
                <w:color w:val="FFFFFF"/>
              </w:rPr>
              <w:t>Etapa</w:t>
            </w:r>
          </w:p>
        </w:tc>
        <w:tc>
          <w:tcPr>
            <w:tcW w:w="1800" w:type="dxa"/>
            <w:shd w:val="clear" w:fill="2E75B6"/>
          </w:tcPr>
          <w:p w14:paraId="5CC9082D" w14:textId="6575448A">
            <w:pPr>
              <w:jc w:val="center"/>
            </w:pPr>
            <w:r>
              <w:rPr>
                <w:b/>
                <w:color w:val="FFFFFF"/>
              </w:rPr>
              <w:t>AUC local</w:t>
            </w:r>
          </w:p>
        </w:tc>
        <w:tc>
          <w:tcPr>
            <w:tcW w:w="1800" w:type="dxa"/>
            <w:shd w:val="clear" w:fill="2E75B6"/>
          </w:tcPr>
          <w:p w14:paraId="2B9E6D7B" w14:textId="28124290">
            <w:pPr>
              <w:jc w:val="center"/>
            </w:pPr>
            <w:r>
              <w:rPr>
                <w:b/>
                <w:color w:val="FFFFFF"/>
              </w:rPr>
              <w:t>Kaggle privado</w:t>
            </w:r>
          </w:p>
        </w:tc>
        <w:tc>
          <w:tcPr>
            <w:tcW w:w="1800" w:type="dxa"/>
            <w:shd w:val="clear" w:fill="2E75B6"/>
          </w:tcPr>
          <w:p w14:paraId="78C71780" w14:textId="4A2432DE">
            <w:pPr>
              <w:jc w:val="center"/>
            </w:pPr>
            <w:r>
              <w:rPr>
                <w:b/>
                <w:color w:val="FFFFFF"/>
              </w:rPr>
              <w:t>Gap</w:t>
            </w:r>
          </w:p>
        </w:tc>
        <w:tc>
          <w:tcPr>
            <w:tcW w:w="1600" w:type="dxa"/>
            <w:shd w:val="clear" w:fill="2E75B6"/>
          </w:tcPr>
          <w:p w14:paraId="32A026A4" w14:textId="6015471A">
            <w:pPr>
              <w:jc w:val="center"/>
            </w:pPr>
            <w:r>
              <w:rPr>
                <w:b/>
                <w:color w:val="FFFFFF"/>
              </w:rPr>
              <w:t>Δ gap vs E7</w:t>
            </w:r>
          </w:p>
        </w:tc>
      </w:tr>
      <w:tr>
        <w:tc>
          <w:tcPr>
            <w:tcW w:w="2000" w:type="dxa"/>
          </w:tcPr>
          <w:p w14:paraId="497B3439" w14:textId="7E8D2612">
            <w:r>
              <w:t>Etapa 7</w:t>
            </w:r>
          </w:p>
        </w:tc>
        <w:tc>
          <w:tcPr>
            <w:tcW w:w="1800" w:type="dxa"/>
          </w:tcPr>
          <w:p w14:paraId="4E3CE43F" w14:textId="2BCF69B9">
            <w:pPr>
              <w:jc w:val="center"/>
            </w:pPr>
            <w:r>
              <w:t>0,9514</w:t>
            </w:r>
          </w:p>
        </w:tc>
        <w:tc>
          <w:tcPr>
            <w:tcW w:w="1800" w:type="dxa"/>
          </w:tcPr>
          <w:p w14:paraId="65AFADF4" w14:textId="3A6499F8">
            <w:pPr>
              <w:jc w:val="center"/>
            </w:pPr>
            <w:r>
              <w:t>0,9254</w:t>
            </w:r>
          </w:p>
        </w:tc>
        <w:tc>
          <w:tcPr>
            <w:tcW w:w="1800" w:type="dxa"/>
          </w:tcPr>
          <w:p w14:paraId="3E54EDAD" w14:textId="7CF9FFC9">
            <w:pPr>
              <w:jc w:val="center"/>
            </w:pPr>
            <w:r>
              <w:t>0,0260</w:t>
            </w:r>
          </w:p>
        </w:tc>
        <w:tc>
          <w:tcPr>
            <w:tcW w:w="1600" w:type="dxa"/>
          </w:tcPr>
          <w:p w14:paraId="3DD41F4D" w14:textId="68B1B0CF">
            <w:pPr>
              <w:jc w:val="center"/>
            </w:pPr>
            <w:r>
              <w:t>—</w:t>
            </w:r>
          </w:p>
        </w:tc>
      </w:tr>
      <w:tr>
        <w:tc>
          <w:tcPr>
            <w:tcW w:w="2000" w:type="dxa"/>
          </w:tcPr>
          <w:p w14:paraId="37D118F3" w14:textId="2B784AFB">
            <w:r>
              <w:t>Etapa 8</w:t>
            </w:r>
          </w:p>
        </w:tc>
        <w:tc>
          <w:tcPr>
            <w:tcW w:w="1800" w:type="dxa"/>
          </w:tcPr>
          <w:p w14:paraId="2A861E69" w14:textId="70EFCFEE">
            <w:pPr>
              <w:jc w:val="center"/>
            </w:pPr>
            <w:r>
              <w:t>0,9453</w:t>
            </w:r>
          </w:p>
        </w:tc>
        <w:tc>
          <w:tcPr>
            <w:tcW w:w="1800" w:type="dxa"/>
          </w:tcPr>
          <w:p w14:paraId="6283E439" w14:textId="142F49AC">
            <w:pPr>
              <w:jc w:val="center"/>
            </w:pPr>
            <w:r>
              <w:t>0,9205</w:t>
            </w:r>
          </w:p>
        </w:tc>
        <w:tc>
          <w:tcPr>
            <w:tcW w:w="1800" w:type="dxa"/>
          </w:tcPr>
          <w:p w14:paraId="711B82CC" w14:textId="284DD30F">
            <w:pPr>
              <w:jc w:val="center"/>
            </w:pPr>
            <w:r>
              <w:t>0,0248</w:t>
            </w:r>
          </w:p>
        </w:tc>
        <w:tc>
          <w:tcPr>
            <w:tcW w:w="1600" w:type="dxa"/>
          </w:tcPr>
          <w:p w14:paraId="4225011B" w14:textId="2B1D4034">
            <w:pPr>
              <w:jc w:val="center"/>
            </w:pPr>
            <w:r>
              <w:t>−0,0012</w:t>
            </w:r>
          </w:p>
        </w:tc>
      </w:tr>
      <w:tr>
        <w:tc>
          <w:tcPr>
            <w:tcW w:w="2000" w:type="dxa"/>
            <w:shd w:val="clear" w:fill="EBF3FB"/>
          </w:tcPr>
          <w:p w14:paraId="65205285" w14:textId="32A4E571">
            <w:r>
              <w:t>Etapa 9</w:t>
            </w:r>
          </w:p>
        </w:tc>
        <w:tc>
          <w:tcPr>
            <w:tcW w:w="1800" w:type="dxa"/>
            <w:shd w:val="clear" w:fill="EBF3FB"/>
          </w:tcPr>
          <w:p w14:paraId="7AC4EC88" w14:textId="64D505FB">
            <w:pPr>
              <w:jc w:val="center"/>
            </w:pPr>
            <w:r>
              <w:t>0,9517</w:t>
            </w:r>
          </w:p>
        </w:tc>
        <w:tc>
          <w:tcPr>
            <w:tcW w:w="1800" w:type="dxa"/>
            <w:shd w:val="clear" w:fill="EBF3FB"/>
          </w:tcPr>
          <w:p w14:paraId="5DE4D0BA" w14:textId="4AF57CCF">
            <w:pPr>
              <w:jc w:val="center"/>
            </w:pPr>
            <w:r>
              <w:t>0,9254</w:t>
            </w:r>
          </w:p>
        </w:tc>
        <w:tc>
          <w:tcPr>
            <w:tcW w:w="1800" w:type="dxa"/>
            <w:shd w:val="clear" w:fill="EBF3FB"/>
          </w:tcPr>
          <w:p w14:paraId="1C345855" w14:textId="3AE2D29A">
            <w:pPr>
              <w:jc w:val="center"/>
            </w:pPr>
            <w:r>
              <w:t>0,0263</w:t>
            </w:r>
          </w:p>
        </w:tc>
        <w:tc>
          <w:tcPr>
            <w:tcW w:w="1600" w:type="dxa"/>
            <w:shd w:val="clear" w:fill="EBF3FB"/>
          </w:tcPr>
          <w:p w14:paraId="1D241BCD" w14:textId="10902740">
            <w:pPr>
              <w:jc w:val="center"/>
            </w:pPr>
            <w:r>
              <w:t>+0,0003</w:t>
            </w:r>
          </w:p>
        </w:tc>
      </w:tr>
    </w:tbl>
    <w:p w14:paraId="3DCE1279" w14:textId="21666FA6">
      <w:pPr>
        <w:pStyle w:val="Heading3"/>
      </w:pPr>
      <w:r>
        <w:t>9.D · Análisis e Interpretación</w:t>
      </w:r>
    </w:p>
    <w:p w14:paraId="6074D857" w14:textId="6F6B75AE">
      <w:pPr>
        <w:pStyle w:val="Heading4"/>
      </w:pPr>
      <w:r>
        <w:t>Diversidad estructural limitada por correlación</w:t>
      </w:r>
    </w:p>
    <w:p w14:paraId="6E8DD6BA" w14:textId="58FFF4E9">
      <w:r>
        <w:t>El resultado central de la Etapa 9 es la alta correlación entre LightGBM y XGBoost (r = 0,8817). Aunque sus arquitecturas difieren (leaf-wise vs. level-wise), ambos aprenden el mismo patrón dominante: el covariate shift temporal del dataset IEEE-CIS. El peso óptimo 0,95/0,05 confirma que XGBoost no aporta información complementaria suficiente para justificar mayor influencia en el ensemble.</w:t>
      </w:r>
    </w:p>
    <w:p w14:paraId="65214817" w14:textId="6C82C56F">
      <w:pPr>
        <w:pStyle w:val="Heading4"/>
      </w:pPr>
      <w:r>
        <w:t>Post-procesamiento UID: señal real pero limitada</w:t>
      </w:r>
    </w:p>
    <w:p w14:paraId="1C679C58" w14:textId="32B339C5">
      <w:r>
        <w:t>El alpha óptimo de 0,05 confirma que el fraude tiene un componente de cliente real. Sin embargo, un alpha mayor degrada el rendimiento porque la señal de fraude varía transacción a transacción incluso dentro del mismo cliente. El score privado de Kaggle (0,9254) es idéntico al de Etapa 7, confirmando que el ensemble y el UID son refinamientos marginales sobre una base ya consolidada.</w:t>
      </w:r>
    </w:p>
    <w:p w14:paraId="35D9C30A" w14:textId="3B8785A7">
      <w:pPr>
        <w:pStyle w:val="Heading4"/>
      </w:pPr>
      <w:r>
        <w:t>Avance acumulado del proyecto</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000"/>
        <w:gridCol w:w="2500"/>
        <w:gridCol w:w="2500"/>
      </w:tblGrid>
      <w:tr>
        <w:trPr>
          <w:shd w:val="clear" w:color="auto" w:fill="2E75B6"/>
        </w:trPr>
        <w:tc>
          <w:tcPr>
            <w:tcW w:w="4000" w:type="dxa"/>
            <w:shd w:val="clear" w:fill="2E75B6"/>
          </w:tcPr>
          <w:p w14:paraId="400061A0" w14:textId="269B9A90">
            <w:r>
              <w:rPr>
                <w:b/>
                <w:color w:val="FFFFFF"/>
              </w:rPr>
              <w:t>Hito metodológico</w:t>
            </w:r>
          </w:p>
        </w:tc>
        <w:tc>
          <w:tcPr>
            <w:tcW w:w="2500" w:type="dxa"/>
            <w:shd w:val="clear" w:fill="2E75B6"/>
          </w:tcPr>
          <w:p w14:paraId="16F8801B" w14:textId="6A472609">
            <w:pPr>
              <w:jc w:val="center"/>
            </w:pPr>
            <w:r>
              <w:rPr>
                <w:b/>
                <w:color w:val="FFFFFF"/>
              </w:rPr>
              <w:t>Score privado Kaggle</w:t>
            </w:r>
          </w:p>
        </w:tc>
        <w:tc>
          <w:tcPr>
            <w:tcW w:w="2500" w:type="dxa"/>
            <w:shd w:val="clear" w:fill="2E75B6"/>
          </w:tcPr>
          <w:p w14:paraId="17001C68" w14:textId="6536577D">
            <w:pPr>
              <w:jc w:val="center"/>
            </w:pPr>
            <w:r>
              <w:rPr>
                <w:b/>
                <w:color w:val="FFFFFF"/>
              </w:rPr>
              <w:t>Δ</w:t>
            </w:r>
          </w:p>
        </w:tc>
      </w:tr>
      <w:tr>
        <w:tc>
          <w:tcPr>
            <w:tcW w:w="4000" w:type="dxa"/>
          </w:tcPr>
          <w:p w14:paraId="46C20351" w14:textId="43F698AB">
            <w:r>
              <w:t>Parte I — LightGBM baseline</w:t>
            </w:r>
          </w:p>
        </w:tc>
        <w:tc>
          <w:tcPr>
            <w:tcW w:w="2500" w:type="dxa"/>
          </w:tcPr>
          <w:p w14:paraId="5E7FD5E6" w14:textId="673974D7">
            <w:pPr>
              <w:jc w:val="center"/>
            </w:pPr>
            <w:r>
              <w:t>0,8545</w:t>
            </w:r>
          </w:p>
        </w:tc>
        <w:tc>
          <w:tcPr>
            <w:tcW w:w="2500" w:type="dxa"/>
          </w:tcPr>
          <w:p w14:paraId="3614301F" w14:textId="6E0D511D">
            <w:pPr>
              <w:jc w:val="center"/>
            </w:pPr>
            <w:r>
              <w:t>—</w:t>
            </w:r>
          </w:p>
        </w:tc>
      </w:tr>
      <w:tr>
        <w:tc>
          <w:tcPr>
            <w:tcW w:w="4000" w:type="dxa"/>
          </w:tcPr>
          <w:p w14:paraId="5D5E9AB2" w14:textId="434DD7FC">
            <w:r>
              <w:t>+ UID engineering + GroupKFold (E7)</w:t>
            </w:r>
          </w:p>
        </w:tc>
        <w:tc>
          <w:tcPr>
            <w:tcW w:w="2500" w:type="dxa"/>
          </w:tcPr>
          <w:p w14:paraId="43B5CC10" w14:textId="4AC365CB">
            <w:pPr>
              <w:jc w:val="center"/>
            </w:pPr>
            <w:r>
              <w:t>0,9254</w:t>
            </w:r>
          </w:p>
        </w:tc>
        <w:tc>
          <w:tcPr>
            <w:tcW w:w="2500" w:type="dxa"/>
          </w:tcPr>
          <w:p w14:paraId="526227C2" w14:textId="223389FE">
            <w:pPr>
              <w:jc w:val="center"/>
            </w:pPr>
            <w:r>
              <w:t>+0,0709</w:t>
            </w:r>
          </w:p>
        </w:tc>
      </w:tr>
      <w:tr>
        <w:tc>
          <w:tcPr>
            <w:tcW w:w="4000" w:type="dxa"/>
          </w:tcPr>
          <w:p w14:paraId="30CC6D1C" w14:textId="773644D8">
            <w:r>
              <w:t>+ Adversarial feature selection (E8)</w:t>
            </w:r>
          </w:p>
        </w:tc>
        <w:tc>
          <w:tcPr>
            <w:tcW w:w="2500" w:type="dxa"/>
          </w:tcPr>
          <w:p w14:paraId="7D19594C" w14:textId="33332D75">
            <w:pPr>
              <w:jc w:val="center"/>
            </w:pPr>
            <w:r>
              <w:t>0,9205</w:t>
            </w:r>
          </w:p>
        </w:tc>
        <w:tc>
          <w:tcPr>
            <w:tcW w:w="2500" w:type="dxa"/>
          </w:tcPr>
          <w:p w14:paraId="36A6BCA2" w14:textId="17848712">
            <w:pPr>
              <w:jc w:val="center"/>
            </w:pPr>
            <w:r>
              <w:t>−0,0049</w:t>
            </w:r>
          </w:p>
        </w:tc>
      </w:tr>
      <w:tr>
        <w:tc>
          <w:tcPr>
            <w:tcW w:w="4000" w:type="dxa"/>
            <w:shd w:val="clear" w:fill="EBF3FB"/>
          </w:tcPr>
          <w:p w14:paraId="67B5D6C5" w14:textId="43423BCB">
            <w:r>
              <w:t>+ Ensemble + UID post-proc. (E9)</w:t>
            </w:r>
          </w:p>
        </w:tc>
        <w:tc>
          <w:tcPr>
            <w:tcW w:w="2500" w:type="dxa"/>
            <w:shd w:val="clear" w:fill="EBF3FB"/>
          </w:tcPr>
          <w:p w14:paraId="372B3FAE" w14:textId="56CCE73F">
            <w:pPr>
              <w:jc w:val="center"/>
            </w:pPr>
            <w:r>
              <w:t>0,9254</w:t>
            </w:r>
          </w:p>
        </w:tc>
        <w:tc>
          <w:tcPr>
            <w:tcW w:w="2500" w:type="dxa"/>
            <w:shd w:val="clear" w:fill="EBF3FB"/>
          </w:tcPr>
          <w:p w14:paraId="4D51EE0D" w14:textId="2C7FFC48">
            <w:pPr>
              <w:jc w:val="center"/>
            </w:pPr>
            <w:r>
              <w:t>+0,0049</w:t>
            </w:r>
          </w:p>
        </w:tc>
      </w:tr>
    </w:tbl>
    <w:p w14:paraId="38EC82FF" w14:textId="6D4864B3">
      <w:r>
        <w:t>La ingeniería del UID y la validación temporal GroupKFold (Etapa 7) explican el 100% de la mejora neta obtenida (+0,0709 privado). El ensemble y el post-procesamiento UID recuperan exactamente la caída de Etapa 8, consolidando el score máximo alcanzado en 0,9254 sobre el leaderboard privado.</w:t>
      </w:r>
    </w:p>
    <w:sectPr w:rsidR="00234270" w:rsidRPr="00234270" w:rsidSect="00742E5D">
      <w:headerReference w:type="even" r:id="rId12"/>
      <w:headerReference w:type="default" r:id="rId13"/>
      <w:footerReference w:type="even" r:id="rId14"/>
      <w:footerReference w:type="default" r:id="rId15"/>
      <w:pgSz w:w="11906" w:h="16838"/>
      <w:pgMar w:top="2153" w:right="1701" w:bottom="1244"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ECF78" w14:textId="77777777" w:rsidR="00B74E12" w:rsidRPr="0060240E" w:rsidRDefault="00B74E12">
      <w:pPr>
        <w:spacing w:after="0" w:line="240" w:lineRule="auto"/>
      </w:pPr>
      <w:r w:rsidRPr="0060240E">
        <w:separator/>
      </w:r>
    </w:p>
  </w:endnote>
  <w:endnote w:type="continuationSeparator" w:id="0">
    <w:p w14:paraId="3AB9E1E5" w14:textId="77777777" w:rsidR="00B74E12" w:rsidRPr="0060240E" w:rsidRDefault="00B74E12">
      <w:pPr>
        <w:spacing w:after="0" w:line="240" w:lineRule="auto"/>
      </w:pPr>
      <w:r w:rsidRPr="0060240E">
        <w:continuationSeparator/>
      </w:r>
    </w:p>
  </w:endnote>
  <w:endnote w:type="continuationNotice" w:id="1">
    <w:p w14:paraId="2F038AB6" w14:textId="77777777" w:rsidR="00B74E12" w:rsidRPr="0060240E" w:rsidRDefault="00B74E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isuelt Pro Light">
    <w:altName w:val="Calibri"/>
    <w:panose1 w:val="00000000000000000000"/>
    <w:charset w:val="00"/>
    <w:family w:val="swiss"/>
    <w:notTrueType/>
    <w:pitch w:val="variable"/>
    <w:sig w:usb0="A00002AF" w:usb1="5000205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60AB" w14:textId="20034AC1" w:rsidR="005A5D7C" w:rsidRPr="0060240E" w:rsidRDefault="005A5D7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729462"/>
      <w:docPartObj>
        <w:docPartGallery w:val="Page Numbers (Bottom of Page)"/>
        <w:docPartUnique/>
      </w:docPartObj>
    </w:sdtPr>
    <w:sdtEndPr/>
    <w:sdtContent>
      <w:sdt>
        <w:sdtPr>
          <w:id w:val="-1705238520"/>
          <w:docPartObj>
            <w:docPartGallery w:val="Page Numbers (Top of Page)"/>
            <w:docPartUnique/>
          </w:docPartObj>
        </w:sdtPr>
        <w:sdtEndPr/>
        <w:sdtContent>
          <w:p w14:paraId="1D976563" w14:textId="6711D0A7" w:rsidR="005A5D7C" w:rsidRPr="0060240E" w:rsidRDefault="005A5D7C" w:rsidP="00234270">
            <w:pPr>
              <w:pStyle w:val="Piedepgina"/>
              <w:jc w:val="right"/>
            </w:pPr>
            <w:r w:rsidRPr="0060240E">
              <w:t xml:space="preserve">Página </w:t>
            </w:r>
            <w:r w:rsidRPr="0060240E">
              <w:rPr>
                <w:b/>
                <w:bCs/>
                <w:sz w:val="24"/>
                <w:szCs w:val="24"/>
              </w:rPr>
              <w:fldChar w:fldCharType="begin"/>
            </w:r>
            <w:r w:rsidRPr="0060240E">
              <w:rPr>
                <w:b/>
                <w:bCs/>
              </w:rPr>
              <w:instrText>PAGE</w:instrText>
            </w:r>
            <w:r w:rsidRPr="0060240E">
              <w:rPr>
                <w:b/>
                <w:bCs/>
                <w:sz w:val="24"/>
                <w:szCs w:val="24"/>
              </w:rPr>
              <w:fldChar w:fldCharType="separate"/>
            </w:r>
            <w:r w:rsidRPr="0060240E">
              <w:rPr>
                <w:b/>
                <w:bCs/>
              </w:rPr>
              <w:t>2</w:t>
            </w:r>
            <w:r w:rsidRPr="0060240E">
              <w:rPr>
                <w:b/>
                <w:bCs/>
                <w:sz w:val="24"/>
                <w:szCs w:val="24"/>
              </w:rPr>
              <w:fldChar w:fldCharType="end"/>
            </w:r>
            <w:r w:rsidRPr="0060240E">
              <w:t xml:space="preserve"> de </w:t>
            </w:r>
            <w:r w:rsidRPr="0060240E">
              <w:rPr>
                <w:b/>
                <w:bCs/>
                <w:sz w:val="24"/>
                <w:szCs w:val="24"/>
              </w:rPr>
              <w:fldChar w:fldCharType="begin"/>
            </w:r>
            <w:r w:rsidRPr="0060240E">
              <w:rPr>
                <w:b/>
                <w:bCs/>
              </w:rPr>
              <w:instrText>NUMPAGES</w:instrText>
            </w:r>
            <w:r w:rsidRPr="0060240E">
              <w:rPr>
                <w:b/>
                <w:bCs/>
                <w:sz w:val="24"/>
                <w:szCs w:val="24"/>
              </w:rPr>
              <w:fldChar w:fldCharType="separate"/>
            </w:r>
            <w:r w:rsidRPr="0060240E">
              <w:rPr>
                <w:b/>
                <w:bCs/>
              </w:rPr>
              <w:t>2</w:t>
            </w:r>
            <w:r w:rsidRPr="0060240E">
              <w:rPr>
                <w:b/>
                <w:bCs/>
                <w:sz w:val="24"/>
                <w:szCs w:val="24"/>
              </w:rPr>
              <w:fldChar w:fldCharType="end"/>
            </w:r>
          </w:p>
        </w:sdtContent>
      </w:sdt>
    </w:sdtContent>
  </w:sdt>
  <w:p w14:paraId="4F9F16C6" w14:textId="6AB42FB7" w:rsidR="005A5D7C" w:rsidRPr="0060240E" w:rsidRDefault="005A5D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6E322" w14:textId="77777777" w:rsidR="00B74E12" w:rsidRPr="0060240E" w:rsidRDefault="00B74E12">
      <w:pPr>
        <w:spacing w:after="0" w:line="240" w:lineRule="auto"/>
      </w:pPr>
      <w:r w:rsidRPr="0060240E">
        <w:separator/>
      </w:r>
    </w:p>
  </w:footnote>
  <w:footnote w:type="continuationSeparator" w:id="0">
    <w:p w14:paraId="36147E3C" w14:textId="77777777" w:rsidR="00B74E12" w:rsidRPr="0060240E" w:rsidRDefault="00B74E12">
      <w:pPr>
        <w:spacing w:after="0" w:line="240" w:lineRule="auto"/>
      </w:pPr>
      <w:r w:rsidRPr="0060240E">
        <w:continuationSeparator/>
      </w:r>
    </w:p>
  </w:footnote>
  <w:footnote w:type="continuationNotice" w:id="1">
    <w:p w14:paraId="48A56D30" w14:textId="77777777" w:rsidR="00B74E12" w:rsidRPr="0060240E" w:rsidRDefault="00B74E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DFCF" w14:textId="77777777" w:rsidR="005A5D7C" w:rsidRPr="0060240E" w:rsidRDefault="005A5D7C">
    <w:pPr>
      <w:pStyle w:val="Cabeceraizquierda"/>
    </w:pPr>
    <w:r w:rsidRPr="0060240E">
      <w:rPr>
        <w:noProof/>
        <w:lang w:eastAsia="es-ES"/>
      </w:rPr>
      <w:drawing>
        <wp:anchor distT="0" distB="0" distL="0" distR="0" simplePos="0" relativeHeight="251658241" behindDoc="1" locked="0" layoutInCell="1" allowOverlap="1" wp14:anchorId="56432DAE" wp14:editId="6A3C5F00">
          <wp:simplePos x="0" y="0"/>
          <wp:positionH relativeFrom="column">
            <wp:posOffset>-720090</wp:posOffset>
          </wp:positionH>
          <wp:positionV relativeFrom="paragraph">
            <wp:posOffset>-71120</wp:posOffset>
          </wp:positionV>
          <wp:extent cx="1644650" cy="822325"/>
          <wp:effectExtent l="0" t="0" r="0" b="0"/>
          <wp:wrapNone/>
          <wp:docPr id="1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4D30" w14:textId="77777777" w:rsidR="005A5D7C" w:rsidRPr="0060240E" w:rsidRDefault="005A5D7C">
    <w:pPr>
      <w:pStyle w:val="Encabezado"/>
    </w:pPr>
    <w:r w:rsidRPr="0060240E">
      <w:rPr>
        <w:noProof/>
        <w:lang w:eastAsia="es-ES"/>
      </w:rPr>
      <w:drawing>
        <wp:anchor distT="0" distB="0" distL="0" distR="0" simplePos="0" relativeHeight="251658240" behindDoc="1" locked="0" layoutInCell="1" allowOverlap="1" wp14:anchorId="29156755" wp14:editId="2A30F3AE">
          <wp:simplePos x="0" y="0"/>
          <wp:positionH relativeFrom="column">
            <wp:posOffset>4341951</wp:posOffset>
          </wp:positionH>
          <wp:positionV relativeFrom="paragraph">
            <wp:posOffset>-71120</wp:posOffset>
          </wp:positionV>
          <wp:extent cx="1644650" cy="822325"/>
          <wp:effectExtent l="0" t="0" r="0" b="0"/>
          <wp:wrapNone/>
          <wp:docPr id="1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6C63"/>
    <w:multiLevelType w:val="multilevel"/>
    <w:tmpl w:val="B914A634"/>
    <w:lvl w:ilvl="0">
      <w:start w:val="1"/>
      <w:numFmt w:val="decimal"/>
      <w:pStyle w:val="Ttulo1"/>
      <w:lvlText w:val="%1."/>
      <w:lvlJc w:val="left"/>
      <w:pPr>
        <w:tabs>
          <w:tab w:val="num" w:pos="0"/>
        </w:tabs>
        <w:ind w:left="360" w:hanging="360"/>
      </w:pPr>
    </w:lvl>
    <w:lvl w:ilvl="1">
      <w:start w:val="1"/>
      <w:numFmt w:val="decimal"/>
      <w:pStyle w:val="Ttulo2"/>
      <w:lvlText w:val="%1.%2."/>
      <w:lvlJc w:val="left"/>
      <w:pPr>
        <w:tabs>
          <w:tab w:val="num" w:pos="0"/>
        </w:tabs>
        <w:ind w:left="792" w:hanging="432"/>
      </w:pPr>
    </w:lvl>
    <w:lvl w:ilvl="2">
      <w:start w:val="1"/>
      <w:numFmt w:val="decimal"/>
      <w:pStyle w:val="Ttulo3"/>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80384043">
    <w:abstractNumId w:val="0"/>
  </w:num>
  <w:num w:numId="2" w16cid:durableId="640885232">
    <w:abstractNumId w:val="1"/>
  </w:num>
  <w:num w:numId="3" w16cid:durableId="2057504084">
    <w:abstractNumId w:val="3"/>
  </w:num>
  <w:num w:numId="4" w16cid:durableId="1912542434">
    <w:abstractNumId w:val="2"/>
  </w:num>
  <w:num w:numId="5" w16cid:durableId="1116634679">
    <w:abstractNumId w:val="0"/>
  </w:num>
  <w:num w:numId="6" w16cid:durableId="933591888">
    <w:abstractNumId w:val="0"/>
  </w:num>
  <w:num w:numId="7" w16cid:durableId="2051030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358"/>
    <w:rsid w:val="00060CA6"/>
    <w:rsid w:val="00072A1A"/>
    <w:rsid w:val="0009523F"/>
    <w:rsid w:val="000A2D46"/>
    <w:rsid w:val="001056A5"/>
    <w:rsid w:val="00166AB0"/>
    <w:rsid w:val="001A2105"/>
    <w:rsid w:val="001A49B5"/>
    <w:rsid w:val="001B6DFC"/>
    <w:rsid w:val="001E36DB"/>
    <w:rsid w:val="00234270"/>
    <w:rsid w:val="002A7F25"/>
    <w:rsid w:val="002B1AA1"/>
    <w:rsid w:val="002C5EF7"/>
    <w:rsid w:val="002D2A3C"/>
    <w:rsid w:val="002F0F31"/>
    <w:rsid w:val="00302440"/>
    <w:rsid w:val="00331118"/>
    <w:rsid w:val="00335558"/>
    <w:rsid w:val="003424CA"/>
    <w:rsid w:val="003674DB"/>
    <w:rsid w:val="0039204E"/>
    <w:rsid w:val="00395659"/>
    <w:rsid w:val="003F2451"/>
    <w:rsid w:val="004A5FA6"/>
    <w:rsid w:val="004E1A73"/>
    <w:rsid w:val="005012E8"/>
    <w:rsid w:val="00570749"/>
    <w:rsid w:val="005772A5"/>
    <w:rsid w:val="005A5D7C"/>
    <w:rsid w:val="0060240E"/>
    <w:rsid w:val="00612D69"/>
    <w:rsid w:val="006164CB"/>
    <w:rsid w:val="00616D70"/>
    <w:rsid w:val="0065180D"/>
    <w:rsid w:val="006A7E28"/>
    <w:rsid w:val="0072179D"/>
    <w:rsid w:val="0072474B"/>
    <w:rsid w:val="007267D6"/>
    <w:rsid w:val="00727D35"/>
    <w:rsid w:val="00742537"/>
    <w:rsid w:val="00742E5D"/>
    <w:rsid w:val="00763A0A"/>
    <w:rsid w:val="007E2DC5"/>
    <w:rsid w:val="007F01E2"/>
    <w:rsid w:val="00826A5F"/>
    <w:rsid w:val="00845CBE"/>
    <w:rsid w:val="00906358"/>
    <w:rsid w:val="00906997"/>
    <w:rsid w:val="00970A36"/>
    <w:rsid w:val="009804A5"/>
    <w:rsid w:val="00A54EBE"/>
    <w:rsid w:val="00A949B5"/>
    <w:rsid w:val="00A973DB"/>
    <w:rsid w:val="00AA0070"/>
    <w:rsid w:val="00AB745D"/>
    <w:rsid w:val="00AF791F"/>
    <w:rsid w:val="00B062A6"/>
    <w:rsid w:val="00B32233"/>
    <w:rsid w:val="00B379D8"/>
    <w:rsid w:val="00B47EC4"/>
    <w:rsid w:val="00B74E12"/>
    <w:rsid w:val="00B75896"/>
    <w:rsid w:val="00B87C5C"/>
    <w:rsid w:val="00BA1770"/>
    <w:rsid w:val="00BA3560"/>
    <w:rsid w:val="00BA72A4"/>
    <w:rsid w:val="00BF40E1"/>
    <w:rsid w:val="00C35A4D"/>
    <w:rsid w:val="00C74A5D"/>
    <w:rsid w:val="00C95FBD"/>
    <w:rsid w:val="00CB3F60"/>
    <w:rsid w:val="00CD2098"/>
    <w:rsid w:val="00CE0B41"/>
    <w:rsid w:val="00CF08CB"/>
    <w:rsid w:val="00DA1AA2"/>
    <w:rsid w:val="00DF18CE"/>
    <w:rsid w:val="00EA137B"/>
    <w:rsid w:val="00ED5BE2"/>
    <w:rsid w:val="00ED76D0"/>
    <w:rsid w:val="00EF1188"/>
    <w:rsid w:val="00F01A06"/>
    <w:rsid w:val="00F205DB"/>
    <w:rsid w:val="00F254C4"/>
    <w:rsid w:val="00F6643D"/>
    <w:rsid w:val="00F6655C"/>
    <w:rsid w:val="00FA6D8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E6E81"/>
  <w15:docId w15:val="{71FE55FD-8EC8-4732-B9DE-EBD06FBC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31"/>
    <w:pPr>
      <w:spacing w:after="200" w:line="360" w:lineRule="auto"/>
      <w:jc w:val="both"/>
    </w:pPr>
    <w:rPr>
      <w:rFonts w:ascii="Visuelt Pro Light" w:hAnsi="Visuelt Pro Light" w:cs="Arial"/>
      <w:sz w:val="22"/>
      <w:lang w:val="es-CL"/>
    </w:rPr>
  </w:style>
  <w:style w:type="paragraph" w:styleId="Ttulo1">
    <w:name w:val="heading 1"/>
    <w:basedOn w:val="Normal"/>
    <w:next w:val="Normal"/>
    <w:link w:val="Ttulo1Car"/>
    <w:uiPriority w:val="9"/>
    <w:qFormat/>
    <w:rsid w:val="003D305D"/>
    <w:pPr>
      <w:keepNext/>
      <w:keepLines/>
      <w:numPr>
        <w:numId w:val="1"/>
      </w:numPr>
      <w:spacing w:before="240" w:after="240"/>
      <w:outlineLvl w:val="0"/>
    </w:pPr>
    <w:rPr>
      <w:rFonts w:eastAsiaTheme="majorEastAsia"/>
      <w:color w:val="000000" w:themeColor="text1"/>
      <w:sz w:val="44"/>
      <w:szCs w:val="36"/>
    </w:rPr>
  </w:style>
  <w:style w:type="paragraph" w:styleId="Ttulo2">
    <w:name w:val="heading 2"/>
    <w:basedOn w:val="Ttulo1"/>
    <w:next w:val="Normal"/>
    <w:link w:val="Ttulo2Car"/>
    <w:uiPriority w:val="9"/>
    <w:unhideWhenUsed/>
    <w:qFormat/>
    <w:rsid w:val="00C34DDE"/>
    <w:pPr>
      <w:numPr>
        <w:ilvl w:val="1"/>
      </w:numPr>
      <w:outlineLvl w:val="1"/>
    </w:pPr>
    <w:rPr>
      <w:sz w:val="32"/>
      <w:szCs w:val="32"/>
      <w:lang w:eastAsia="es-ES"/>
    </w:rPr>
  </w:style>
  <w:style w:type="paragraph" w:styleId="Ttulo3">
    <w:name w:val="heading 3"/>
    <w:basedOn w:val="Ttulo2"/>
    <w:next w:val="Normal"/>
    <w:link w:val="Ttulo3Car"/>
    <w:uiPriority w:val="9"/>
    <w:unhideWhenUsed/>
    <w:qFormat/>
    <w:rsid w:val="000C0251"/>
    <w:pPr>
      <w:numPr>
        <w:ilvl w:val="2"/>
      </w:numPr>
      <w:outlineLvl w:val="2"/>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numPr>
        <w:numId w:val="0"/>
      </w:num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style>
  <w:style w:type="paragraph" w:customStyle="1" w:styleId="Contenidodelmarco">
    <w:name w:val="Contenido del marco"/>
    <w:basedOn w:val="Normal"/>
    <w:qFormat/>
  </w:style>
  <w:style w:type="paragraph" w:customStyle="1" w:styleId="Cabeceraizquierda">
    <w:name w:val="Cabecera izquierda"/>
    <w:basedOn w:val="Encabezado"/>
    <w:qFormat/>
    <w:pPr>
      <w:suppressLineNumbers/>
    </w:pPr>
  </w:style>
  <w:style w:type="paragraph" w:styleId="Ttulodendice">
    <w:name w:val="index heading"/>
    <w:basedOn w:val="Ttulo"/>
    <w:pPr>
      <w:suppressLineNumbers/>
    </w:pPr>
    <w:rPr>
      <w:b/>
      <w:bCs/>
      <w:sz w:val="32"/>
      <w:szCs w:val="32"/>
    </w:rPr>
  </w:style>
  <w:style w:type="paragraph" w:styleId="Encabezadodelista">
    <w:name w:val="toa heading"/>
    <w:basedOn w:val="Ttulodendice"/>
    <w:qFormat/>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table" w:styleId="Tablaconcuadrcula1clara-nfasis5">
    <w:name w:val="Grid Table 1 Light Accent 5"/>
    <w:basedOn w:val="Tablanormal"/>
    <w:uiPriority w:val="46"/>
    <w:rsid w:val="00AA0070"/>
    <w:pPr>
      <w:suppressAutoHyphens w:val="0"/>
    </w:pPr>
    <w:rPr>
      <w:rFonts w:ascii="Calibri" w:eastAsia="Calibri" w:hAnsi="Calibri" w:cs="Times New Roman"/>
      <w:szCs w:val="20"/>
      <w:lang w:eastAsia="es-E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A007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4-nfasis6">
    <w:name w:val="Grid Table 4 Accent 6"/>
    <w:basedOn w:val="Tablanormal"/>
    <w:uiPriority w:val="49"/>
    <w:rsid w:val="00AA007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Resaltado">
    <w:name w:val="Resaltado"/>
    <w:basedOn w:val="Normal"/>
    <w:qFormat/>
    <w:rsid w:val="00CE0B41"/>
    <w:pPr>
      <w:shd w:val="clear" w:color="auto" w:fill="FFFFFF"/>
      <w:suppressAutoHyphens w:val="0"/>
      <w:spacing w:after="0"/>
      <w:jc w:val="left"/>
    </w:pPr>
    <w:rPr>
      <w:rFonts w:eastAsia="Times New Roman"/>
      <w:b/>
      <w:color w:val="E65113"/>
      <w:lang w:val="en-US" w:eastAsia="es-ES_tradnl"/>
    </w:rPr>
  </w:style>
  <w:style w:type="character" w:customStyle="1" w:styleId="ApartadoCar">
    <w:name w:val="Apartado Car"/>
    <w:basedOn w:val="Fuentedeprrafopredeter"/>
    <w:link w:val="Apartado"/>
    <w:locked/>
    <w:rsid w:val="00CE0B41"/>
    <w:rPr>
      <w:rFonts w:ascii="Arial" w:eastAsia="Times New Roman" w:hAnsi="Arial" w:cs="Arial"/>
      <w:b/>
      <w:bCs/>
      <w:sz w:val="40"/>
      <w:szCs w:val="40"/>
      <w:lang w:eastAsia="es-ES_tradnl"/>
    </w:rPr>
  </w:style>
  <w:style w:type="paragraph" w:customStyle="1" w:styleId="Apartado">
    <w:name w:val="Apartado"/>
    <w:basedOn w:val="Ttulo2"/>
    <w:link w:val="ApartadoCar"/>
    <w:qFormat/>
    <w:rsid w:val="00CE0B41"/>
    <w:pPr>
      <w:numPr>
        <w:ilvl w:val="0"/>
        <w:numId w:val="0"/>
      </w:numPr>
      <w:suppressAutoHyphens w:val="0"/>
      <w:spacing w:before="0" w:after="0"/>
      <w:jc w:val="left"/>
    </w:pPr>
    <w:rPr>
      <w:rFonts w:eastAsia="Times New Roman"/>
      <w:b/>
      <w:bCs/>
      <w:color w:val="auto"/>
      <w:sz w:val="40"/>
      <w:szCs w:val="40"/>
      <w:lang w:eastAsia="es-ES_tradnl"/>
    </w:rPr>
  </w:style>
  <w:style w:type="paragraph" w:customStyle="1" w:styleId="Resaltadocentrado">
    <w:name w:val="Resaltado centrado"/>
    <w:basedOn w:val="Resaltado"/>
    <w:qFormat/>
    <w:rsid w:val="00CE0B41"/>
    <w:pPr>
      <w:jc w:val="center"/>
    </w:pPr>
    <w:rPr>
      <w:sz w:val="32"/>
    </w:rPr>
  </w:style>
  <w:style w:type="paragraph" w:styleId="Sinespaciado">
    <w:name w:val="No Spacing"/>
    <w:uiPriority w:val="1"/>
    <w:qFormat/>
    <w:rsid w:val="00234270"/>
    <w:pPr>
      <w:jc w:val="both"/>
    </w:pPr>
    <w:rPr>
      <w:rFonts w:ascii="Visuelt Pro Light" w:hAnsi="Visuelt Pro Light" w:cs="Arial"/>
      <w:sz w:val="22"/>
    </w:rPr>
  </w:style>
  <w:style w:type="paragraph" w:styleId="Heading3">
    <w:name w:val="heading 3"/>
    <w:basedOn w:val="Normal"/>
    <w:next w:val="Normal"/>
    <w:link w:val="Heading3Char"/>
    <w:uiPriority w:val="9"/>
    <w:unhideWhenUsed/>
    <w:qFormat/>
    <w:pPr>
      <w:keepNext/>
      <w:keepLines/>
      <w:spacing w:before="200" w:after="0"/>
      <w:outlineLvl w:val="2"/>
    </w:pPr>
    <w:rPr>
      <w:b/>
      <w:color w:val="1F3864" w:themeColor="dark2" w:themeTint="3F"/>
      <w:sz w:val="24"/>
      <w:szCs w:val="24"/>
    </w:rPr>
  </w:style>
  <w:style w:type="character" w:styleId="Heading3Char">
    <w:name w:val="Heading 3 Char"/>
    <w:basedOn w:val="DefaultParagraphFont"/>
    <w:link w:val="Heading3"/>
    <w:uiPriority w:val="9"/>
    <w:rPr>
      <w:b/>
      <w:color w:val="1F3864" w:themeColor="dark2" w:themeTint="3F"/>
      <w:sz w:val="24"/>
      <w:szCs w:val="24"/>
    </w:rPr>
  </w:style>
  <w:style w:type="paragraph" w:styleId="Heading4">
    <w:name w:val="heading 4"/>
    <w:basedOn w:val="Normal"/>
    <w:next w:val="Normal"/>
    <w:link w:val="Heading4Char"/>
    <w:uiPriority w:val="9"/>
    <w:unhideWhenUsed/>
    <w:qFormat/>
    <w:pPr>
      <w:keepNext/>
      <w:keepLines/>
      <w:spacing w:before="200" w:after="0"/>
      <w:outlineLvl w:val="3"/>
    </w:pPr>
    <w:rPr>
      <w:i/>
      <w:color w:val="2E75B6" w:themeColor="accent1" w:themeTint="BF"/>
      <w:sz w:val="24"/>
      <w:szCs w:val="24"/>
    </w:rPr>
  </w:style>
  <w:style w:type="character" w:styleId="Heading4Char">
    <w:name w:val="Heading 4 Char"/>
    <w:basedOn w:val="DefaultParagraphFont"/>
    <w:link w:val="Heading4"/>
    <w:uiPriority w:val="9"/>
    <w:rPr>
      <w:i/>
      <w:color w:val="2E75B6" w:themeColor="accent1" w:themeTint="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151429">
      <w:bodyDiv w:val="1"/>
      <w:marLeft w:val="0"/>
      <w:marRight w:val="0"/>
      <w:marTop w:val="0"/>
      <w:marBottom w:val="0"/>
      <w:divBdr>
        <w:top w:val="none" w:sz="0" w:space="0" w:color="auto"/>
        <w:left w:val="none" w:sz="0" w:space="0" w:color="auto"/>
        <w:bottom w:val="none" w:sz="0" w:space="0" w:color="auto"/>
        <w:right w:val="none" w:sz="0" w:space="0" w:color="auto"/>
      </w:divBdr>
    </w:div>
    <w:div w:id="1400133362">
      <w:bodyDiv w:val="1"/>
      <w:marLeft w:val="0"/>
      <w:marRight w:val="0"/>
      <w:marTop w:val="0"/>
      <w:marBottom w:val="0"/>
      <w:divBdr>
        <w:top w:val="none" w:sz="0" w:space="0" w:color="auto"/>
        <w:left w:val="none" w:sz="0" w:space="0" w:color="auto"/>
        <w:bottom w:val="none" w:sz="0" w:space="0" w:color="auto"/>
        <w:right w:val="none" w:sz="0" w:space="0" w:color="auto"/>
      </w:divBdr>
    </w:div>
    <w:div w:id="1679576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B492543B7F7B45ADB4F41F3F822985" ma:contentTypeVersion="18" ma:contentTypeDescription="Create a new document." ma:contentTypeScope="" ma:versionID="dfebb3af811712be1e5c731de9d11679">
  <xsd:schema xmlns:xsd="http://www.w3.org/2001/XMLSchema" xmlns:xs="http://www.w3.org/2001/XMLSchema" xmlns:p="http://schemas.microsoft.com/office/2006/metadata/properties" xmlns:ns2="3f109a48-3752-4c10-81b4-55fc0b1e9497" xmlns:ns3="7d5a626d-f509-44d4-b02c-d15838480747" targetNamespace="http://schemas.microsoft.com/office/2006/metadata/properties" ma:root="true" ma:fieldsID="9ee95e59acec4be71e63e59befbeeec5" ns2:_="" ns3:_="">
    <xsd:import namespace="3f109a48-3752-4c10-81b4-55fc0b1e9497"/>
    <xsd:import namespace="7d5a626d-f509-44d4-b02c-d1583848074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09a48-3752-4c10-81b4-55fc0b1e94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e055066-1d0b-4836-b0e5-54071a0012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5a626d-f509-44d4-b02c-d1583848074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cf61b44-d36e-46aa-a5ac-86f723ddf17b}" ma:internalName="TaxCatchAll" ma:showField="CatchAllData" ma:web="7d5a626d-f509-44d4-b02c-d158384807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f109a48-3752-4c10-81b4-55fc0b1e9497">
      <Terms xmlns="http://schemas.microsoft.com/office/infopath/2007/PartnerControls"/>
    </lcf76f155ced4ddcb4097134ff3c332f>
    <TaxCatchAll xmlns="7d5a626d-f509-44d4-b02c-d15838480747" xsi:nil="true"/>
  </documentManagement>
</p:properties>
</file>

<file path=customXml/itemProps1.xml><?xml version="1.0" encoding="utf-8"?>
<ds:datastoreItem xmlns:ds="http://schemas.openxmlformats.org/officeDocument/2006/customXml" ds:itemID="{CCA32D4E-72FF-4E2F-9B0D-572749F77B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09a48-3752-4c10-81b4-55fc0b1e9497"/>
    <ds:schemaRef ds:uri="7d5a626d-f509-44d4-b02c-d158384807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3F4731-4595-44D5-887D-AE208B5F9D7E}">
  <ds:schemaRefs>
    <ds:schemaRef ds:uri="http://schemas.openxmlformats.org/officeDocument/2006/bibliography"/>
  </ds:schemaRefs>
</ds:datastoreItem>
</file>

<file path=customXml/itemProps3.xml><?xml version="1.0" encoding="utf-8"?>
<ds:datastoreItem xmlns:ds="http://schemas.openxmlformats.org/officeDocument/2006/customXml" ds:itemID="{D2E34552-30F1-4197-AD08-9874EE871786}">
  <ds:schemaRefs>
    <ds:schemaRef ds:uri="http://schemas.microsoft.com/sharepoint/v3/contenttype/forms"/>
  </ds:schemaRefs>
</ds:datastoreItem>
</file>

<file path=customXml/itemProps4.xml><?xml version="1.0" encoding="utf-8"?>
<ds:datastoreItem xmlns:ds="http://schemas.openxmlformats.org/officeDocument/2006/customXml" ds:itemID="{07A964DA-14FF-4E77-85C4-CF3717E496CA}">
  <ds:schemaRefs>
    <ds:schemaRef ds:uri="http://schemas.microsoft.com/office/2006/metadata/properties"/>
    <ds:schemaRef ds:uri="http://schemas.microsoft.com/office/infopath/2007/PartnerControls"/>
    <ds:schemaRef ds:uri="3f109a48-3752-4c10-81b4-55fc0b1e9497"/>
    <ds:schemaRef ds:uri="7d5a626d-f509-44d4-b02c-d15838480747"/>
  </ds:schemaRefs>
</ds:datastoreItem>
</file>

<file path=docProps/app.xml><?xml version="1.0" encoding="utf-8"?>
<Properties xmlns="http://schemas.openxmlformats.org/officeDocument/2006/extended-properties" xmlns:vt="http://schemas.openxmlformats.org/officeDocument/2006/docPropsVTypes">
  <Template>Normal.dotm</Template>
  <TotalTime>1352</TotalTime>
  <Pages>24</Pages>
  <Words>6439</Words>
  <Characters>35416</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dc:description/>
  <cp:lastModifiedBy>Ariel Mery Ibarra</cp:lastModifiedBy>
  <cp:revision>41</cp:revision>
  <dcterms:created xsi:type="dcterms:W3CDTF">2025-04-09T11:02:00Z</dcterms:created>
  <dcterms:modified xsi:type="dcterms:W3CDTF">2026-05-14T21:41:00Z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0x010100A9B492543B7F7B45ADB4F41F3F822985</vt:lpwstr>
  </property>
  <property fmtid="{D5CDD505-2E9C-101B-9397-08002B2CF9AE}" pid="10" name="MediaServiceImageTags">
    <vt:lpwstr/>
  </property>
</Properties>
</file>