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73E8"/>
          <w:sz w:val="44"/>
        </w:rPr>
        <w:t>Rapport de couverture technique — Templatizer</w:t>
      </w:r>
    </w:p>
    <w:p>
      <w:r>
        <w:rPr>
          <w:color w:val="5F6368"/>
          <w:sz w:val="22"/>
        </w:rPr>
        <w:t>Couverture des widgets/webparts et des cas d’usage — SharePoint, Jint, LumApps, Jalios</w:t>
      </w:r>
    </w:p>
    <w:p>
      <w:r>
        <w:rPr>
          <w:i/>
          <w:color w:val="5F6368"/>
          <w:sz w:val="18"/>
        </w:rPr>
        <w:t>Généré le 02/06/2026 · Outil interne Lecko</w:t>
      </w:r>
    </w:p>
    <w:p/>
    <w:p>
      <w:r>
        <w:rPr>
          <w:b/>
          <w:color w:val="1A73E8"/>
          <w:sz w:val="30"/>
        </w:rPr>
        <w:t>0. Méthode &amp; sources</w:t>
      </w:r>
    </w:p>
    <w:p>
      <w:r>
        <w:rPr>
          <w:i w:val="0"/>
          <w:sz w:val="21"/>
        </w:rPr>
        <w:t>Les chiffres SharePoint et Jint proviennent des catalogues officiels (page Microsoft Support et API du centre d’aide Jint). Le catalogue LumApps n’a pas pu être chargé (page en rendu JavaScript, bloquée côté serveur) : le chiffre s’appuie sur le catalogue LumApps documenté et doit être considéré comme une estimation. Jalios n’a pas de référentiel fourni.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1A73E8"/>
          </w:tcPr>
          <w:p>
            <w:r/>
            <w:r>
              <w:rPr>
                <w:b/>
                <w:color w:val="FFFFFF"/>
                <w:sz w:val="19"/>
              </w:rPr>
              <w:t>Plateforme</w:t>
            </w:r>
          </w:p>
        </w:tc>
        <w:tc>
          <w:tcPr>
            <w:tcW w:type="dxa" w:w="3600"/>
            <w:shd w:val="clear" w:color="auto" w:fill="1A73E8"/>
          </w:tcPr>
          <w:p>
            <w:r/>
            <w:r>
              <w:rPr>
                <w:b/>
                <w:color w:val="FFFFFF"/>
                <w:sz w:val="19"/>
              </w:rPr>
              <w:t>Référentiel « vraie vie »</w:t>
            </w:r>
          </w:p>
        </w:tc>
        <w:tc>
          <w:tcPr>
            <w:tcW w:type="dxa" w:w="3168"/>
            <w:shd w:val="clear" w:color="auto" w:fill="1A73E8"/>
          </w:tcPr>
          <w:p>
            <w:r/>
            <w:r>
              <w:rPr>
                <w:b/>
                <w:color w:val="FFFFFF"/>
                <w:sz w:val="19"/>
              </w:rPr>
              <w:t>Source</w:t>
            </w:r>
          </w:p>
        </w:tc>
        <w:tc>
          <w:tcPr>
            <w:tcW w:type="dxa" w:w="1440"/>
            <w:shd w:val="clear" w:color="auto" w:fill="1A73E8"/>
          </w:tcPr>
          <w:p>
            <w:r/>
            <w:r>
              <w:rPr>
                <w:b/>
                <w:color w:val="FFFFFF"/>
                <w:sz w:val="19"/>
              </w:rPr>
              <w:t>Fiabilité</w:t>
            </w:r>
          </w:p>
        </w:tc>
      </w:tr>
      <w:tr>
        <w:tc>
          <w:tcPr>
            <w:tcW w:type="dxa" w:w="1584"/>
            <w:shd w:val="clear" w:color="auto" w:fill="FFFFFF"/>
          </w:tcPr>
          <w:p>
            <w:r/>
            <w:r>
              <w:rPr>
                <w:b/>
                <w:sz w:val="19"/>
              </w:rPr>
              <w:t>SharePoint</w:t>
            </w:r>
          </w:p>
        </w:tc>
        <w:tc>
          <w:tcPr>
            <w:tcW w:type="dxa" w:w="3600"/>
            <w:shd w:val="clear" w:color="auto" w:fill="FFFFFF"/>
          </w:tcPr>
          <w:p>
            <w:r/>
            <w:r>
              <w:rPr>
                <w:b w:val="0"/>
                <w:sz w:val="19"/>
              </w:rPr>
              <w:t>48 web parts</w:t>
            </w:r>
          </w:p>
        </w:tc>
        <w:tc>
          <w:tcPr>
            <w:tcW w:type="dxa" w:w="3168"/>
            <w:shd w:val="clear" w:color="auto" w:fill="FFFFFF"/>
          </w:tcPr>
          <w:p>
            <w:r/>
            <w:r>
              <w:rPr>
                <w:b w:val="0"/>
                <w:sz w:val="19"/>
              </w:rPr>
              <w:t>Microsoft Support — Using web parts</w:t>
            </w:r>
          </w:p>
        </w:tc>
        <w:tc>
          <w:tcPr>
            <w:tcW w:type="dxa" w:w="1440"/>
            <w:shd w:val="clear" w:color="auto" w:fill="FFFFFF"/>
          </w:tcPr>
          <w:p>
            <w:r/>
            <w:r>
              <w:rPr>
                <w:b w:val="0"/>
                <w:sz w:val="19"/>
              </w:rPr>
              <w:t>✅ officielle</w:t>
            </w:r>
          </w:p>
        </w:tc>
      </w:tr>
      <w:tr>
        <w:tc>
          <w:tcPr>
            <w:tcW w:type="dxa" w:w="1584"/>
            <w:shd w:val="clear" w:color="auto" w:fill="F1F3F4"/>
          </w:tcPr>
          <w:p>
            <w:r/>
            <w:r>
              <w:rPr>
                <w:b/>
                <w:sz w:val="19"/>
              </w:rPr>
              <w:t>Jint</w:t>
            </w:r>
          </w:p>
        </w:tc>
        <w:tc>
          <w:tcPr>
            <w:tcW w:type="dxa" w:w="3600"/>
            <w:shd w:val="clear" w:color="auto" w:fill="F1F3F4"/>
          </w:tcPr>
          <w:p>
            <w:r/>
            <w:r>
              <w:rPr>
                <w:b w:val="0"/>
                <w:sz w:val="19"/>
              </w:rPr>
              <w:t>54 articles « Web parts » → ~40 actifs (marketing « 60+ »)</w:t>
            </w:r>
          </w:p>
        </w:tc>
        <w:tc>
          <w:tcPr>
            <w:tcW w:type="dxa" w:w="3168"/>
            <w:shd w:val="clear" w:color="auto" w:fill="F1F3F4"/>
          </w:tcPr>
          <w:p>
            <w:r/>
            <w:r>
              <w:rPr>
                <w:b w:val="0"/>
                <w:sz w:val="19"/>
              </w:rPr>
              <w:t>Centre d’aide Jint (API, section Web parts)</w:t>
            </w:r>
          </w:p>
        </w:tc>
        <w:tc>
          <w:tcPr>
            <w:tcW w:type="dxa" w:w="1440"/>
            <w:shd w:val="clear" w:color="auto" w:fill="F1F3F4"/>
          </w:tcPr>
          <w:p>
            <w:r/>
            <w:r>
              <w:rPr>
                <w:b w:val="0"/>
                <w:sz w:val="19"/>
              </w:rPr>
              <w:t>✅ officielle</w:t>
            </w:r>
          </w:p>
        </w:tc>
      </w:tr>
      <w:tr>
        <w:tc>
          <w:tcPr>
            <w:tcW w:type="dxa" w:w="1584"/>
            <w:shd w:val="clear" w:color="auto" w:fill="FFFFFF"/>
          </w:tcPr>
          <w:p>
            <w:r/>
            <w:r>
              <w:rPr>
                <w:b/>
                <w:sz w:val="19"/>
              </w:rPr>
              <w:t>LumApps</w:t>
            </w:r>
          </w:p>
        </w:tc>
        <w:tc>
          <w:tcPr>
            <w:tcW w:type="dxa" w:w="3600"/>
            <w:shd w:val="clear" w:color="auto" w:fill="FFFFFF"/>
          </w:tcPr>
          <w:p>
            <w:r/>
            <w:r>
              <w:rPr>
                <w:b w:val="0"/>
                <w:sz w:val="19"/>
              </w:rPr>
              <w:t>~28 widgets standard</w:t>
            </w:r>
          </w:p>
        </w:tc>
        <w:tc>
          <w:tcPr>
            <w:tcW w:type="dxa" w:w="3168"/>
            <w:shd w:val="clear" w:color="auto" w:fill="FFFFFF"/>
          </w:tcPr>
          <w:p>
            <w:r/>
            <w:r>
              <w:rPr>
                <w:b w:val="0"/>
                <w:sz w:val="19"/>
              </w:rPr>
              <w:t>help.lumapps.com — Available widgets (catalogue documenté)</w:t>
            </w:r>
          </w:p>
        </w:tc>
        <w:tc>
          <w:tcPr>
            <w:tcW w:type="dxa" w:w="1440"/>
            <w:shd w:val="clear" w:color="auto" w:fill="FFFFFF"/>
          </w:tcPr>
          <w:p>
            <w:r/>
            <w:r>
              <w:rPr>
                <w:b w:val="0"/>
                <w:sz w:val="19"/>
              </w:rPr>
              <w:t>⚠️ estimation</w:t>
            </w:r>
          </w:p>
        </w:tc>
      </w:tr>
      <w:tr>
        <w:tc>
          <w:tcPr>
            <w:tcW w:type="dxa" w:w="1584"/>
            <w:shd w:val="clear" w:color="auto" w:fill="F1F3F4"/>
          </w:tcPr>
          <w:p>
            <w:r/>
            <w:r>
              <w:rPr>
                <w:b/>
                <w:sz w:val="19"/>
              </w:rPr>
              <w:t>Jalios</w:t>
            </w:r>
          </w:p>
        </w:tc>
        <w:tc>
          <w:tcPr>
            <w:tcW w:type="dxa" w:w="3600"/>
            <w:shd w:val="clear" w:color="auto" w:fill="F1F3F4"/>
          </w:tcPr>
          <w:p>
            <w:r/>
            <w:r>
              <w:rPr>
                <w:b w:val="0"/>
                <w:sz w:val="19"/>
              </w:rPr>
              <w:t>non documenté</w:t>
            </w:r>
          </w:p>
        </w:tc>
        <w:tc>
          <w:tcPr>
            <w:tcW w:type="dxa" w:w="3168"/>
            <w:shd w:val="clear" w:color="auto" w:fill="F1F3F4"/>
          </w:tcPr>
          <w:p>
            <w:r/>
            <w:r>
              <w:rPr>
                <w:b w:val="0"/>
                <w:sz w:val="19"/>
              </w:rPr>
              <w:t>—</w:t>
            </w:r>
          </w:p>
        </w:tc>
        <w:tc>
          <w:tcPr>
            <w:tcW w:type="dxa" w:w="1440"/>
            <w:shd w:val="clear" w:color="auto" w:fill="F1F3F4"/>
          </w:tcPr>
          <w:p>
            <w:r/>
            <w:r>
              <w:rPr>
                <w:b w:val="0"/>
                <w:sz w:val="19"/>
              </w:rPr>
              <w:t>❌</w:t>
            </w:r>
          </w:p>
        </w:tc>
      </w:tr>
    </w:tbl>
    <w:p/>
    <w:p>
      <w:r>
        <w:rPr>
          <w:i/>
          <w:color w:val="5F6368"/>
          <w:sz w:val="19"/>
        </w:rPr>
        <w:t>Inventaire Templatizer : 31 widgets dans le registre (src/widgets/registry.ts), avec un fallback Jint → SharePoint (resolveRenderer).</w:t>
      </w:r>
    </w:p>
    <w:p>
      <w:r>
        <w:rPr>
          <w:b/>
          <w:color w:val="1A73E8"/>
          <w:sz w:val="30"/>
        </w:rPr>
        <w:t>1. Couverture par widgets/webparts (technique)</w:t>
      </w:r>
    </w:p>
    <w:p>
      <w:r>
        <w:rPr>
          <w:b/>
          <w:color w:val="202124"/>
          <w:sz w:val="25"/>
        </w:rPr>
        <w:t>Répartition Templatizer par plateforme</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1A73E8"/>
          </w:tcPr>
          <w:p>
            <w:r/>
            <w:r>
              <w:rPr>
                <w:b/>
                <w:color w:val="FFFFFF"/>
                <w:sz w:val="19"/>
              </w:rPr>
              <w:t>Plateforme</w:t>
            </w:r>
          </w:p>
        </w:tc>
        <w:tc>
          <w:tcPr>
            <w:tcW w:type="dxa" w:w="2016"/>
            <w:shd w:val="clear" w:color="auto" w:fill="1A73E8"/>
          </w:tcPr>
          <w:p>
            <w:r/>
            <w:r>
              <w:rPr>
                <w:b/>
                <w:color w:val="FFFFFF"/>
                <w:sz w:val="19"/>
              </w:rPr>
              <w:t>Widgets dispo dans Templatizer</w:t>
            </w:r>
          </w:p>
        </w:tc>
        <w:tc>
          <w:tcPr>
            <w:tcW w:type="dxa" w:w="4896"/>
            <w:shd w:val="clear" w:color="auto" w:fill="1A73E8"/>
          </w:tcPr>
          <w:p>
            <w:r/>
            <w:r>
              <w:rPr>
                <w:b/>
                <w:color w:val="FFFFFF"/>
                <w:sz w:val="19"/>
              </w:rPr>
              <w:t>Détail</w:t>
            </w:r>
          </w:p>
        </w:tc>
      </w:tr>
      <w:tr>
        <w:tc>
          <w:tcPr>
            <w:tcW w:type="dxa" w:w="1440"/>
            <w:shd w:val="clear" w:color="auto" w:fill="FFFFFF"/>
          </w:tcPr>
          <w:p>
            <w:r/>
            <w:r>
              <w:rPr>
                <w:b/>
                <w:sz w:val="19"/>
              </w:rPr>
              <w:t>SharePoint</w:t>
            </w:r>
          </w:p>
        </w:tc>
        <w:tc>
          <w:tcPr>
            <w:tcW w:type="dxa" w:w="2016"/>
            <w:shd w:val="clear" w:color="auto" w:fill="FFFFFF"/>
          </w:tcPr>
          <w:p>
            <w:r/>
            <w:r>
              <w:rPr>
                <w:b w:val="0"/>
                <w:sz w:val="19"/>
              </w:rPr>
              <w:t>15</w:t>
            </w:r>
          </w:p>
        </w:tc>
        <w:tc>
          <w:tcPr>
            <w:tcW w:type="dxa" w:w="4896"/>
            <w:shd w:val="clear" w:color="auto" w:fill="FFFFFF"/>
          </w:tcPr>
          <w:p>
            <w:r/>
            <w:r>
              <w:rPr>
                <w:b w:val="0"/>
                <w:sz w:val="19"/>
              </w:rPr>
              <w:t>text, button, mainBanner (Hero), news, callToAction, editorialCard (Image), quickLinks, documentLibrary, highlightedContent, events, orgChart, contacts (People), video, youtube, misc</w:t>
            </w:r>
          </w:p>
        </w:tc>
      </w:tr>
      <w:tr>
        <w:tc>
          <w:tcPr>
            <w:tcW w:type="dxa" w:w="1440"/>
            <w:shd w:val="clear" w:color="auto" w:fill="F1F3F4"/>
          </w:tcPr>
          <w:p>
            <w:r/>
            <w:r>
              <w:rPr>
                <w:b/>
                <w:sz w:val="19"/>
              </w:rPr>
              <w:t>Jint</w:t>
            </w:r>
          </w:p>
        </w:tc>
        <w:tc>
          <w:tcPr>
            <w:tcW w:type="dxa" w:w="2016"/>
            <w:shd w:val="clear" w:color="auto" w:fill="F1F3F4"/>
          </w:tcPr>
          <w:p>
            <w:r/>
            <w:r>
              <w:rPr>
                <w:b w:val="0"/>
                <w:sz w:val="19"/>
              </w:rPr>
              <w:t>22</w:t>
            </w:r>
          </w:p>
        </w:tc>
        <w:tc>
          <w:tcPr>
            <w:tcW w:type="dxa" w:w="4896"/>
            <w:shd w:val="clear" w:color="auto" w:fill="F1F3F4"/>
          </w:tcPr>
          <w:p>
            <w:r/>
            <w:r>
              <w:rPr>
                <w:b w:val="0"/>
                <w:sz w:val="19"/>
              </w:rPr>
              <w:t>10 natifs Jint + 12 webparts SharePoint hérités via fallback</w:t>
            </w:r>
          </w:p>
        </w:tc>
      </w:tr>
      <w:tr>
        <w:tc>
          <w:tcPr>
            <w:tcW w:type="dxa" w:w="1440"/>
            <w:shd w:val="clear" w:color="auto" w:fill="FFFFFF"/>
          </w:tcPr>
          <w:p>
            <w:r/>
            <w:r>
              <w:rPr>
                <w:b/>
                <w:sz w:val="19"/>
              </w:rPr>
              <w:t>LumApps</w:t>
            </w:r>
          </w:p>
        </w:tc>
        <w:tc>
          <w:tcPr>
            <w:tcW w:type="dxa" w:w="2016"/>
            <w:shd w:val="clear" w:color="auto" w:fill="FFFFFF"/>
          </w:tcPr>
          <w:p>
            <w:r/>
            <w:r>
              <w:rPr>
                <w:b w:val="0"/>
                <w:sz w:val="19"/>
              </w:rPr>
              <w:t>11</w:t>
            </w:r>
          </w:p>
        </w:tc>
        <w:tc>
          <w:tcPr>
            <w:tcW w:type="dxa" w:w="4896"/>
            <w:shd w:val="clear" w:color="auto" w:fill="FFFFFF"/>
          </w:tcPr>
          <w:p>
            <w:r/>
            <w:r>
              <w:rPr>
                <w:b w:val="0"/>
                <w:sz w:val="19"/>
              </w:rPr>
              <w:t>title, text, news, articlesList, calendar, communityList, communityPosts, filesList, imageGallery, linksList, usersList</w:t>
            </w:r>
          </w:p>
        </w:tc>
      </w:tr>
      <w:tr>
        <w:tc>
          <w:tcPr>
            <w:tcW w:type="dxa" w:w="1440"/>
            <w:shd w:val="clear" w:color="auto" w:fill="F1F3F4"/>
          </w:tcPr>
          <w:p>
            <w:r/>
            <w:r>
              <w:rPr>
                <w:b/>
                <w:sz w:val="19"/>
              </w:rPr>
              <w:t>Jalios</w:t>
            </w:r>
          </w:p>
        </w:tc>
        <w:tc>
          <w:tcPr>
            <w:tcW w:type="dxa" w:w="2016"/>
            <w:shd w:val="clear" w:color="auto" w:fill="F1F3F4"/>
          </w:tcPr>
          <w:p>
            <w:r/>
            <w:r>
              <w:rPr>
                <w:b w:val="0"/>
                <w:sz w:val="19"/>
              </w:rPr>
              <w:t>1</w:t>
            </w:r>
          </w:p>
        </w:tc>
        <w:tc>
          <w:tcPr>
            <w:tcW w:type="dxa" w:w="4896"/>
            <w:shd w:val="clear" w:color="auto" w:fill="F1F3F4"/>
          </w:tcPr>
          <w:p>
            <w:r/>
            <w:r>
              <w:rPr>
                <w:b w:val="0"/>
                <w:sz w:val="19"/>
              </w:rPr>
              <w:t>news uniquement</w:t>
            </w:r>
          </w:p>
        </w:tc>
      </w:tr>
    </w:tbl>
    <w:p/>
    <w:p>
      <w:r>
        <w:rPr>
          <w:b/>
          <w:color w:val="202124"/>
          <w:sz w:val="25"/>
        </w:rPr>
        <w:t>Taux de couverture vs catalogue réel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1A73E8"/>
          </w:tcPr>
          <w:p>
            <w:r/>
            <w:r>
              <w:rPr>
                <w:b/>
                <w:color w:val="FFFFFF"/>
                <w:sz w:val="19"/>
              </w:rPr>
              <w:t>Plateforme</w:t>
            </w:r>
          </w:p>
        </w:tc>
        <w:tc>
          <w:tcPr>
            <w:tcW w:type="dxa" w:w="1296"/>
            <w:shd w:val="clear" w:color="auto" w:fill="1A73E8"/>
          </w:tcPr>
          <w:p>
            <w:r/>
            <w:r>
              <w:rPr>
                <w:b/>
                <w:color w:val="FFFFFF"/>
                <w:sz w:val="19"/>
              </w:rPr>
              <w:t>Couverts</w:t>
            </w:r>
          </w:p>
        </w:tc>
        <w:tc>
          <w:tcPr>
            <w:tcW w:type="dxa" w:w="1728"/>
            <w:shd w:val="clear" w:color="auto" w:fill="1A73E8"/>
          </w:tcPr>
          <w:p>
            <w:r/>
            <w:r>
              <w:rPr>
                <w:b/>
                <w:color w:val="FFFFFF"/>
                <w:sz w:val="19"/>
              </w:rPr>
              <w:t>Catalogue réel</w:t>
            </w:r>
          </w:p>
        </w:tc>
        <w:tc>
          <w:tcPr>
            <w:tcW w:type="dxa" w:w="3024"/>
            <w:shd w:val="clear" w:color="auto" w:fill="1A73E8"/>
          </w:tcPr>
          <w:p>
            <w:r/>
            <w:r>
              <w:rPr>
                <w:b/>
                <w:color w:val="FFFFFF"/>
                <w:sz w:val="19"/>
              </w:rPr>
              <w:t>Couverture</w:t>
            </w:r>
          </w:p>
        </w:tc>
      </w:tr>
      <w:tr>
        <w:tc>
          <w:tcPr>
            <w:tcW w:type="dxa" w:w="2304"/>
            <w:shd w:val="clear" w:color="auto" w:fill="FFFFFF"/>
          </w:tcPr>
          <w:p>
            <w:r/>
            <w:r>
              <w:rPr>
                <w:b/>
                <w:sz w:val="19"/>
              </w:rPr>
              <w:t>SharePoint</w:t>
            </w:r>
          </w:p>
        </w:tc>
        <w:tc>
          <w:tcPr>
            <w:tcW w:type="dxa" w:w="1296"/>
            <w:shd w:val="clear" w:color="auto" w:fill="FFFFFF"/>
          </w:tcPr>
          <w:p>
            <w:pPr>
              <w:jc w:val="center"/>
            </w:pPr>
            <w:r/>
            <w:r>
              <w:rPr>
                <w:b w:val="0"/>
                <w:sz w:val="19"/>
              </w:rPr>
              <w:t>15</w:t>
            </w:r>
          </w:p>
        </w:tc>
        <w:tc>
          <w:tcPr>
            <w:tcW w:type="dxa" w:w="1728"/>
            <w:shd w:val="clear" w:color="auto" w:fill="FFFFFF"/>
          </w:tcPr>
          <w:p>
            <w:pPr>
              <w:jc w:val="center"/>
            </w:pPr>
            <w:r/>
            <w:r>
              <w:rPr>
                <w:b w:val="0"/>
                <w:sz w:val="19"/>
              </w:rPr>
              <w:t>48</w:t>
            </w:r>
          </w:p>
        </w:tc>
        <w:tc>
          <w:tcPr>
            <w:tcW w:type="dxa" w:w="3024"/>
            <w:shd w:val="clear" w:color="auto" w:fill="FFFFFF"/>
          </w:tcPr>
          <w:p>
            <w:r/>
            <w:r>
              <w:rPr>
                <w:b w:val="0"/>
                <w:sz w:val="19"/>
              </w:rPr>
              <w:t>≈ 31 %</w:t>
            </w:r>
          </w:p>
        </w:tc>
      </w:tr>
      <w:tr>
        <w:tc>
          <w:tcPr>
            <w:tcW w:type="dxa" w:w="2304"/>
            <w:shd w:val="clear" w:color="auto" w:fill="F1F3F4"/>
          </w:tcPr>
          <w:p>
            <w:r/>
            <w:r>
              <w:rPr>
                <w:b/>
                <w:sz w:val="19"/>
              </w:rPr>
              <w:t>Jint (webparts natifs)</w:t>
            </w:r>
          </w:p>
        </w:tc>
        <w:tc>
          <w:tcPr>
            <w:tcW w:type="dxa" w:w="1296"/>
            <w:shd w:val="clear" w:color="auto" w:fill="F1F3F4"/>
          </w:tcPr>
          <w:p>
            <w:pPr>
              <w:jc w:val="center"/>
            </w:pPr>
            <w:r/>
            <w:r>
              <w:rPr>
                <w:b w:val="0"/>
                <w:sz w:val="19"/>
              </w:rPr>
              <w:t>12 ¹</w:t>
            </w:r>
          </w:p>
        </w:tc>
        <w:tc>
          <w:tcPr>
            <w:tcW w:type="dxa" w:w="1728"/>
            <w:shd w:val="clear" w:color="auto" w:fill="F1F3F4"/>
          </w:tcPr>
          <w:p>
            <w:pPr>
              <w:jc w:val="center"/>
            </w:pPr>
            <w:r/>
            <w:r>
              <w:rPr>
                <w:b w:val="0"/>
                <w:sz w:val="19"/>
              </w:rPr>
              <w:t>~40 actifs</w:t>
            </w:r>
          </w:p>
        </w:tc>
        <w:tc>
          <w:tcPr>
            <w:tcW w:type="dxa" w:w="3024"/>
            <w:shd w:val="clear" w:color="auto" w:fill="F1F3F4"/>
          </w:tcPr>
          <w:p>
            <w:r/>
            <w:r>
              <w:rPr>
                <w:b w:val="0"/>
                <w:sz w:val="19"/>
              </w:rPr>
              <w:t>≈ 30 % (22 % des 54 articles ; ~20 % du « 60+ »)</w:t>
            </w:r>
          </w:p>
        </w:tc>
      </w:tr>
      <w:tr>
        <w:tc>
          <w:tcPr>
            <w:tcW w:type="dxa" w:w="2304"/>
            <w:shd w:val="clear" w:color="auto" w:fill="FFFFFF"/>
          </w:tcPr>
          <w:p>
            <w:r/>
            <w:r>
              <w:rPr>
                <w:b/>
                <w:sz w:val="19"/>
              </w:rPr>
              <w:t>LumApps</w:t>
            </w:r>
          </w:p>
        </w:tc>
        <w:tc>
          <w:tcPr>
            <w:tcW w:type="dxa" w:w="1296"/>
            <w:shd w:val="clear" w:color="auto" w:fill="FFFFFF"/>
          </w:tcPr>
          <w:p>
            <w:pPr>
              <w:jc w:val="center"/>
            </w:pPr>
            <w:r/>
            <w:r>
              <w:rPr>
                <w:b w:val="0"/>
                <w:sz w:val="19"/>
              </w:rPr>
              <w:t>11</w:t>
            </w:r>
          </w:p>
        </w:tc>
        <w:tc>
          <w:tcPr>
            <w:tcW w:type="dxa" w:w="1728"/>
            <w:shd w:val="clear" w:color="auto" w:fill="FFFFFF"/>
          </w:tcPr>
          <w:p>
            <w:pPr>
              <w:jc w:val="center"/>
            </w:pPr>
            <w:r/>
            <w:r>
              <w:rPr>
                <w:b w:val="0"/>
                <w:sz w:val="19"/>
              </w:rPr>
              <w:t>~28</w:t>
            </w:r>
          </w:p>
        </w:tc>
        <w:tc>
          <w:tcPr>
            <w:tcW w:type="dxa" w:w="3024"/>
            <w:shd w:val="clear" w:color="auto" w:fill="FFFFFF"/>
          </w:tcPr>
          <w:p>
            <w:r/>
            <w:r>
              <w:rPr>
                <w:b w:val="0"/>
                <w:sz w:val="19"/>
              </w:rPr>
              <w:t>≈ 39 % ⚠️ estimation</w:t>
            </w:r>
          </w:p>
        </w:tc>
      </w:tr>
      <w:tr>
        <w:tc>
          <w:tcPr>
            <w:tcW w:type="dxa" w:w="2304"/>
            <w:shd w:val="clear" w:color="auto" w:fill="F1F3F4"/>
          </w:tcPr>
          <w:p>
            <w:r/>
            <w:r>
              <w:rPr>
                <w:b/>
                <w:sz w:val="19"/>
              </w:rPr>
              <w:t>Jalios</w:t>
            </w:r>
          </w:p>
        </w:tc>
        <w:tc>
          <w:tcPr>
            <w:tcW w:type="dxa" w:w="1296"/>
            <w:shd w:val="clear" w:color="auto" w:fill="F1F3F4"/>
          </w:tcPr>
          <w:p>
            <w:pPr>
              <w:jc w:val="center"/>
            </w:pPr>
            <w:r/>
            <w:r>
              <w:rPr>
                <w:b w:val="0"/>
                <w:sz w:val="19"/>
              </w:rPr>
              <w:t>1</w:t>
            </w:r>
          </w:p>
        </w:tc>
        <w:tc>
          <w:tcPr>
            <w:tcW w:type="dxa" w:w="1728"/>
            <w:shd w:val="clear" w:color="auto" w:fill="F1F3F4"/>
          </w:tcPr>
          <w:p>
            <w:pPr>
              <w:jc w:val="center"/>
            </w:pPr>
            <w:r/>
            <w:r>
              <w:rPr>
                <w:b w:val="0"/>
                <w:sz w:val="19"/>
              </w:rPr>
              <w:t>n.c.</w:t>
            </w:r>
          </w:p>
        </w:tc>
        <w:tc>
          <w:tcPr>
            <w:tcW w:type="dxa" w:w="3024"/>
            <w:shd w:val="clear" w:color="auto" w:fill="F1F3F4"/>
          </w:tcPr>
          <w:p>
            <w:r/>
            <w:r>
              <w:rPr>
                <w:b w:val="0"/>
                <w:sz w:val="19"/>
              </w:rPr>
              <w:t>stub (seul news)</w:t>
            </w:r>
          </w:p>
        </w:tc>
      </w:tr>
    </w:tbl>
    <w:p/>
    <w:p>
      <w:r>
        <w:rPr>
          <w:i/>
          <w:color w:val="5F6368"/>
          <w:sz w:val="19"/>
        </w:rPr>
        <w:t>¹ Les 10 renderers natifs Jint couvrent 12 webparts réels : documentCenter bundle à lui seul 3 webparts du Jint Search Center (Search Bar + Filter + Result).</w:t>
      </w:r>
    </w:p>
    <w:p>
      <w:r>
        <w:rPr>
          <w:i w:val="0"/>
          <w:sz w:val="21"/>
        </w:rPr>
        <w:t>Nuance Jint : Jint tournant sur SharePoint, les 15 webparts SharePoint y sont aussi utilisables. La portée totale de Templatizer sur Jint est donc supérieure (22 widgets), mais la couverture des modules spécifiques Jint reste à ~30 %.</w:t>
      </w:r>
    </w:p>
    <w:p>
      <w:r>
        <w:rPr>
          <w:b/>
          <w:color w:val="202124"/>
          <w:sz w:val="25"/>
        </w:rPr>
        <w:t>Principaux manques par plateforme (actionnable)</w:t>
      </w:r>
    </w:p>
    <w:p>
      <w:pPr>
        <w:pStyle w:val="ListBullet"/>
      </w:pPr>
      <w:r>
        <w:rPr>
          <w:sz w:val="21"/>
        </w:rPr>
        <w:t>SharePoint : Image gallery (existe mais renderer LumApps only !), Embed, Code/Markdown, List, Group calendar, Planner, Power BI, Microsoft Forms, Stream, Countdown, Quick chart, My feed, Weather/World clock.</w:t>
      </w:r>
    </w:p>
    <w:p>
      <w:pPr>
        <w:pStyle w:val="ListBullet"/>
      </w:pPr>
      <w:r>
        <w:rPr>
          <w:sz w:val="21"/>
        </w:rPr>
        <w:t>Jint natifs absents : Profile, Banner, Professional Anniversaries, My Tasks, My Emails, My Feed, Project (Target/Weather/Budget), Contributors / Top Contributors, Suggestion Box, Survey, Progress meter, Message Bar, Teams, Indicator, Site Directory, Image/Action Button.</w:t>
      </w:r>
    </w:p>
    <w:p>
      <w:pPr>
        <w:pStyle w:val="ListBullet"/>
      </w:pPr>
      <w:r>
        <w:rPr>
          <w:sz w:val="21"/>
        </w:rPr>
        <w:t>LumApps absents : Video (le widget video est SharePoint-only !), Meta/Social wall (social est Jint-only !), Map, Iframe/Embed, Survey/Form, Community navigation, Slideshow, Play, Contribution.</w:t>
      </w:r>
    </w:p>
    <w:p>
      <w:r>
        <w:rPr>
          <w:b/>
          <w:color w:val="1A73E8"/>
          <w:sz w:val="30"/>
        </w:rPr>
        <w:t>2. Couverture par cas d’usage</w:t>
      </w:r>
    </w:p>
    <w:p>
      <w:r>
        <w:rPr>
          <w:i w:val="0"/>
          <w:sz w:val="21"/>
        </w:rPr>
        <w:t>Templatizer structure ses widgets en 4 macro cas d’usage (UsageCategory dans types/widget.ts). Un cas d’usage est adressé par plusieurs widgets — voici la profondeur par catégorie.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1A73E8"/>
          </w:tcPr>
          <w:p>
            <w:r/>
            <w:r>
              <w:rPr>
                <w:b/>
                <w:color w:val="FFFFFF"/>
                <w:sz w:val="19"/>
              </w:rPr>
              <w:t>Cas d’usage</w:t>
            </w:r>
          </w:p>
        </w:tc>
        <w:tc>
          <w:tcPr>
            <w:tcW w:type="dxa" w:w="1296"/>
            <w:shd w:val="clear" w:color="auto" w:fill="1A73E8"/>
          </w:tcPr>
          <w:p>
            <w:r/>
            <w:r>
              <w:rPr>
                <w:b/>
                <w:color w:val="FFFFFF"/>
                <w:sz w:val="19"/>
              </w:rPr>
              <w:t>Nb widgets</w:t>
            </w:r>
          </w:p>
        </w:tc>
        <w:tc>
          <w:tcPr>
            <w:tcW w:type="dxa" w:w="1440"/>
            <w:shd w:val="clear" w:color="auto" w:fill="1A73E8"/>
          </w:tcPr>
          <w:p>
            <w:r/>
            <w:r>
              <w:rPr>
                <w:b/>
                <w:color w:val="FFFFFF"/>
                <w:sz w:val="19"/>
              </w:rPr>
              <w:t>Profondeur</w:t>
            </w:r>
          </w:p>
        </w:tc>
        <w:tc>
          <w:tcPr>
            <w:tcW w:type="dxa" w:w="4320"/>
            <w:shd w:val="clear" w:color="auto" w:fill="1A73E8"/>
          </w:tcPr>
          <w:p>
            <w:r/>
            <w:r>
              <w:rPr>
                <w:b/>
                <w:color w:val="FFFFFF"/>
                <w:sz w:val="19"/>
              </w:rPr>
              <w:t>Couverture des besoins réels</w:t>
            </w:r>
          </w:p>
        </w:tc>
      </w:tr>
      <w:tr>
        <w:tc>
          <w:tcPr>
            <w:tcW w:type="dxa" w:w="2016"/>
            <w:shd w:val="clear" w:color="auto" w:fill="FFFFFF"/>
          </w:tcPr>
          <w:p>
            <w:r/>
            <w:r>
              <w:rPr>
                <w:b/>
                <w:sz w:val="19"/>
              </w:rPr>
              <w:t>Communiquer</w:t>
            </w:r>
          </w:p>
        </w:tc>
        <w:tc>
          <w:tcPr>
            <w:tcW w:type="dxa" w:w="1296"/>
            <w:shd w:val="clear" w:color="auto" w:fill="FFFFFF"/>
          </w:tcPr>
          <w:p>
            <w:pPr>
              <w:jc w:val="center"/>
            </w:pPr>
            <w:r/>
            <w:r>
              <w:rPr>
                <w:b w:val="0"/>
                <w:sz w:val="19"/>
              </w:rPr>
              <w:t>13</w:t>
            </w:r>
          </w:p>
        </w:tc>
        <w:tc>
          <w:tcPr>
            <w:tcW w:type="dxa" w:w="1440"/>
            <w:shd w:val="clear" w:color="auto" w:fill="FFFFFF"/>
          </w:tcPr>
          <w:p>
            <w:pPr>
              <w:jc w:val="center"/>
            </w:pPr>
            <w:r/>
            <w:r>
              <w:rPr>
                <w:b w:val="0"/>
                <w:sz w:val="19"/>
              </w:rPr>
              <w:t>★★★★★</w:t>
            </w:r>
          </w:p>
        </w:tc>
        <w:tc>
          <w:tcPr>
            <w:tcW w:type="dxa" w:w="4320"/>
            <w:shd w:val="clear" w:color="auto" w:fill="FFFFFF"/>
          </w:tcPr>
          <w:p>
            <w:r/>
            <w:r>
              <w:rPr>
                <w:b w:val="0"/>
                <w:sz w:val="19"/>
              </w:rPr>
              <w:t>Forte. Actu, hero, éditorial, CTA, vidéo, mur social présents (mais éclatés par plateforme)</w:t>
            </w:r>
          </w:p>
        </w:tc>
      </w:tr>
      <w:tr>
        <w:tc>
          <w:tcPr>
            <w:tcW w:type="dxa" w:w="2016"/>
            <w:shd w:val="clear" w:color="auto" w:fill="F1F3F4"/>
          </w:tcPr>
          <w:p>
            <w:r/>
            <w:r>
              <w:rPr>
                <w:b/>
                <w:sz w:val="19"/>
              </w:rPr>
              <w:t>Accéder aux outils</w:t>
            </w:r>
          </w:p>
        </w:tc>
        <w:tc>
          <w:tcPr>
            <w:tcW w:type="dxa" w:w="1296"/>
            <w:shd w:val="clear" w:color="auto" w:fill="F1F3F4"/>
          </w:tcPr>
          <w:p>
            <w:pPr>
              <w:jc w:val="center"/>
            </w:pPr>
            <w:r/>
            <w:r>
              <w:rPr>
                <w:b w:val="0"/>
                <w:sz w:val="19"/>
              </w:rPr>
              <w:t>9</w:t>
            </w:r>
          </w:p>
        </w:tc>
        <w:tc>
          <w:tcPr>
            <w:tcW w:type="dxa" w:w="1440"/>
            <w:shd w:val="clear" w:color="auto" w:fill="F1F3F4"/>
          </w:tcPr>
          <w:p>
            <w:pPr>
              <w:jc w:val="center"/>
            </w:pPr>
            <w:r/>
            <w:r>
              <w:rPr>
                <w:b w:val="0"/>
                <w:sz w:val="19"/>
              </w:rPr>
              <w:t>★★★★☆</w:t>
            </w:r>
          </w:p>
        </w:tc>
        <w:tc>
          <w:tcPr>
            <w:tcW w:type="dxa" w:w="4320"/>
            <w:shd w:val="clear" w:color="auto" w:fill="F1F3F4"/>
          </w:tcPr>
          <w:p>
            <w:r/>
            <w:r>
              <w:rPr>
                <w:b w:val="0"/>
                <w:sz w:val="19"/>
              </w:rPr>
              <w:t>Forte. Liens, doc, recherche, apps bien couverts</w:t>
            </w:r>
          </w:p>
        </w:tc>
      </w:tr>
      <w:tr>
        <w:tc>
          <w:tcPr>
            <w:tcW w:type="dxa" w:w="2016"/>
            <w:shd w:val="clear" w:color="auto" w:fill="FFFFFF"/>
          </w:tcPr>
          <w:p>
            <w:r/>
            <w:r>
              <w:rPr>
                <w:b/>
                <w:sz w:val="19"/>
              </w:rPr>
              <w:t>Collaborer</w:t>
            </w:r>
          </w:p>
        </w:tc>
        <w:tc>
          <w:tcPr>
            <w:tcW w:type="dxa" w:w="1296"/>
            <w:shd w:val="clear" w:color="auto" w:fill="FFFFFF"/>
          </w:tcPr>
          <w:p>
            <w:pPr>
              <w:jc w:val="center"/>
            </w:pPr>
            <w:r/>
            <w:r>
              <w:rPr>
                <w:b w:val="0"/>
                <w:sz w:val="19"/>
              </w:rPr>
              <w:t>7</w:t>
            </w:r>
          </w:p>
        </w:tc>
        <w:tc>
          <w:tcPr>
            <w:tcW w:type="dxa" w:w="1440"/>
            <w:shd w:val="clear" w:color="auto" w:fill="FFFFFF"/>
          </w:tcPr>
          <w:p>
            <w:pPr>
              <w:jc w:val="center"/>
            </w:pPr>
            <w:r/>
            <w:r>
              <w:rPr>
                <w:b w:val="0"/>
                <w:sz w:val="19"/>
              </w:rPr>
              <w:t>★★★☆☆</w:t>
            </w:r>
          </w:p>
        </w:tc>
        <w:tc>
          <w:tcPr>
            <w:tcW w:type="dxa" w:w="4320"/>
            <w:shd w:val="clear" w:color="auto" w:fill="FFFFFF"/>
          </w:tcPr>
          <w:p>
            <w:r/>
            <w:r>
              <w:rPr>
                <w:b w:val="0"/>
                <w:sz w:val="19"/>
              </w:rPr>
              <w:t>Moyenne. Annuaire/communautés OK ; manquent Profile, Suggestion box, Survey, Contributors</w:t>
            </w:r>
          </w:p>
        </w:tc>
      </w:tr>
      <w:tr>
        <w:tc>
          <w:tcPr>
            <w:tcW w:type="dxa" w:w="2016"/>
            <w:shd w:val="clear" w:color="auto" w:fill="F1F3F4"/>
          </w:tcPr>
          <w:p>
            <w:r/>
            <w:r>
              <w:rPr>
                <w:b/>
                <w:sz w:val="19"/>
              </w:rPr>
              <w:t>Vivre l’entreprise</w:t>
            </w:r>
          </w:p>
        </w:tc>
        <w:tc>
          <w:tcPr>
            <w:tcW w:type="dxa" w:w="1296"/>
            <w:shd w:val="clear" w:color="auto" w:fill="F1F3F4"/>
          </w:tcPr>
          <w:p>
            <w:pPr>
              <w:jc w:val="center"/>
            </w:pPr>
            <w:r/>
            <w:r>
              <w:rPr>
                <w:b w:val="0"/>
                <w:sz w:val="19"/>
              </w:rPr>
              <w:t>2</w:t>
            </w:r>
          </w:p>
        </w:tc>
        <w:tc>
          <w:tcPr>
            <w:tcW w:type="dxa" w:w="1440"/>
            <w:shd w:val="clear" w:color="auto" w:fill="F1F3F4"/>
          </w:tcPr>
          <w:p>
            <w:pPr>
              <w:jc w:val="center"/>
            </w:pPr>
            <w:r/>
            <w:r>
              <w:rPr>
                <w:b w:val="0"/>
                <w:sz w:val="19"/>
              </w:rPr>
              <w:t>★☆☆☆☆</w:t>
            </w:r>
          </w:p>
        </w:tc>
        <w:tc>
          <w:tcPr>
            <w:tcW w:type="dxa" w:w="4320"/>
            <w:shd w:val="clear" w:color="auto" w:fill="F1F3F4"/>
          </w:tcPr>
          <w:p>
            <w:r/>
            <w:r>
              <w:rPr>
                <w:b w:val="0"/>
                <w:sz w:val="19"/>
              </w:rPr>
              <w:t>Faible. Seulement agenda/événements ; manquent anniversaires, météo projet, sondages, indicateurs</w:t>
            </w:r>
          </w:p>
        </w:tc>
      </w:tr>
    </w:tbl>
    <w:p/>
    <w:p>
      <w:r>
        <w:rPr>
          <w:i w:val="0"/>
          <w:sz w:val="21"/>
        </w:rPr>
        <w:t>Lecture :</w:t>
      </w:r>
    </w:p>
    <w:p>
      <w:pPr>
        <w:pStyle w:val="ListBullet"/>
      </w:pPr>
      <w:r>
        <w:rPr>
          <w:sz w:val="21"/>
        </w:rPr>
        <w:t>4/4 cas d’usage représentés (100 % en largeur) — aucune catégorie n’est vide.</w:t>
      </w:r>
    </w:p>
    <w:p>
      <w:pPr>
        <w:pStyle w:val="ListBullet"/>
      </w:pPr>
      <w:r>
        <w:rPr>
          <w:sz w:val="21"/>
        </w:rPr>
        <w:t>Profondeur très déséquilibrée : « Communiquer » concentre 42 % des widgets (13/31), « Vivre l’entreprise » seulement 2.</w:t>
      </w:r>
    </w:p>
    <w:p>
      <w:pPr>
        <w:pStyle w:val="ListBullet"/>
      </w:pPr>
      <w:r>
        <w:rPr>
          <w:sz w:val="21"/>
        </w:rPr>
        <w:t>Point faible structurel : pour un même cas d’usage, un widget n’existe souvent que sur une seule plateforme (vidéo SP-only, social Jint-only, galerie/communautés LumApps-only) → trous de couverture par plateforme invisibles dans le total.</w:t>
      </w:r>
    </w:p>
    <w:p>
      <w:r>
        <w:rPr>
          <w:b/>
          <w:color w:val="1A73E8"/>
          <w:sz w:val="30"/>
        </w:rPr>
        <w:t>3. Synthèse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48"/>
            <w:shd w:val="clear" w:color="auto" w:fill="1A73E8"/>
          </w:tcPr>
          <w:p>
            <w:r/>
            <w:r>
              <w:rPr>
                <w:b/>
                <w:color w:val="FFFFFF"/>
                <w:sz w:val="19"/>
              </w:rPr>
            </w:r>
          </w:p>
        </w:tc>
        <w:tc>
          <w:tcPr>
            <w:tcW w:type="dxa" w:w="1872"/>
            <w:shd w:val="clear" w:color="auto" w:fill="1A73E8"/>
          </w:tcPr>
          <w:p>
            <w:r/>
            <w:r>
              <w:rPr>
                <w:b/>
                <w:color w:val="FFFFFF"/>
                <w:sz w:val="19"/>
              </w:rPr>
              <w:t>SharePoint</w:t>
            </w:r>
          </w:p>
        </w:tc>
        <w:tc>
          <w:tcPr>
            <w:tcW w:type="dxa" w:w="2016"/>
            <w:shd w:val="clear" w:color="auto" w:fill="1A73E8"/>
          </w:tcPr>
          <w:p>
            <w:r/>
            <w:r>
              <w:rPr>
                <w:b/>
                <w:color w:val="FFFFFF"/>
                <w:sz w:val="19"/>
              </w:rPr>
              <w:t>Jint</w:t>
            </w:r>
          </w:p>
        </w:tc>
        <w:tc>
          <w:tcPr>
            <w:tcW w:type="dxa" w:w="2016"/>
            <w:shd w:val="clear" w:color="auto" w:fill="1A73E8"/>
          </w:tcPr>
          <w:p>
            <w:r/>
            <w:r>
              <w:rPr>
                <w:b/>
                <w:color w:val="FFFFFF"/>
                <w:sz w:val="19"/>
              </w:rPr>
              <w:t>LumApps</w:t>
            </w:r>
          </w:p>
        </w:tc>
        <w:tc>
          <w:tcPr>
            <w:tcW w:type="dxa" w:w="1296"/>
            <w:shd w:val="clear" w:color="auto" w:fill="1A73E8"/>
          </w:tcPr>
          <w:p>
            <w:r/>
            <w:r>
              <w:rPr>
                <w:b/>
                <w:color w:val="FFFFFF"/>
                <w:sz w:val="19"/>
              </w:rPr>
              <w:t>Jalios</w:t>
            </w:r>
          </w:p>
        </w:tc>
      </w:tr>
      <w:tr>
        <w:tc>
          <w:tcPr>
            <w:tcW w:type="dxa" w:w="2448"/>
            <w:shd w:val="clear" w:color="auto" w:fill="FFFFFF"/>
          </w:tcPr>
          <w:p>
            <w:r/>
            <w:r>
              <w:rPr>
                <w:b/>
                <w:sz w:val="19"/>
              </w:rPr>
              <w:t>Couverture technique</w:t>
            </w:r>
          </w:p>
        </w:tc>
        <w:tc>
          <w:tcPr>
            <w:tcW w:type="dxa" w:w="1872"/>
            <w:shd w:val="clear" w:color="auto" w:fill="FFFFFF"/>
          </w:tcPr>
          <w:p>
            <w:pPr>
              <w:jc w:val="center"/>
            </w:pPr>
            <w:r/>
            <w:r>
              <w:rPr>
                <w:b w:val="0"/>
                <w:sz w:val="19"/>
              </w:rPr>
              <w:t>~31 % (15/48)</w:t>
            </w:r>
          </w:p>
        </w:tc>
        <w:tc>
          <w:tcPr>
            <w:tcW w:type="dxa" w:w="2016"/>
            <w:shd w:val="clear" w:color="auto" w:fill="FFFFFF"/>
          </w:tcPr>
          <w:p>
            <w:pPr>
              <w:jc w:val="center"/>
            </w:pPr>
            <w:r/>
            <w:r>
              <w:rPr>
                <w:b w:val="0"/>
                <w:sz w:val="19"/>
              </w:rPr>
              <w:t>~30 % natifs (+15 SP)</w:t>
            </w:r>
          </w:p>
        </w:tc>
        <w:tc>
          <w:tcPr>
            <w:tcW w:type="dxa" w:w="2016"/>
            <w:shd w:val="clear" w:color="auto" w:fill="FFFFFF"/>
          </w:tcPr>
          <w:p>
            <w:pPr>
              <w:jc w:val="center"/>
            </w:pPr>
            <w:r/>
            <w:r>
              <w:rPr>
                <w:b w:val="0"/>
                <w:sz w:val="19"/>
              </w:rPr>
              <w:t>~39 % (11/28) ⚠️</w:t>
            </w:r>
          </w:p>
        </w:tc>
        <w:tc>
          <w:tcPr>
            <w:tcW w:type="dxa" w:w="1296"/>
            <w:shd w:val="clear" w:color="auto" w:fill="FFFFFF"/>
          </w:tcPr>
          <w:p>
            <w:pPr>
              <w:jc w:val="center"/>
            </w:pPr>
            <w:r/>
            <w:r>
              <w:rPr>
                <w:b w:val="0"/>
                <w:sz w:val="19"/>
              </w:rPr>
              <w:t>stub (1)</w:t>
            </w:r>
          </w:p>
        </w:tc>
      </w:tr>
      <w:tr>
        <w:tc>
          <w:tcPr>
            <w:tcW w:type="dxa" w:w="2448"/>
            <w:shd w:val="clear" w:color="auto" w:fill="F1F3F4"/>
          </w:tcPr>
          <w:p>
            <w:r/>
            <w:r>
              <w:rPr>
                <w:b/>
                <w:sz w:val="19"/>
              </w:rPr>
              <w:t>Cas d’usage couverts</w:t>
            </w:r>
          </w:p>
        </w:tc>
        <w:tc>
          <w:tcPr>
            <w:tcW w:type="dxa" w:w="1872"/>
            <w:shd w:val="clear" w:color="auto" w:fill="F1F3F4"/>
          </w:tcPr>
          <w:p>
            <w:pPr>
              <w:jc w:val="center"/>
            </w:pPr>
            <w:r/>
            <w:r>
              <w:rPr>
                <w:b w:val="0"/>
                <w:sz w:val="19"/>
              </w:rPr>
              <w:t>4/4</w:t>
            </w:r>
          </w:p>
        </w:tc>
        <w:tc>
          <w:tcPr>
            <w:tcW w:type="dxa" w:w="2016"/>
            <w:shd w:val="clear" w:color="auto" w:fill="F1F3F4"/>
          </w:tcPr>
          <w:p>
            <w:pPr>
              <w:jc w:val="center"/>
            </w:pPr>
            <w:r/>
            <w:r>
              <w:rPr>
                <w:b w:val="0"/>
                <w:sz w:val="19"/>
              </w:rPr>
              <w:t>4/4</w:t>
            </w:r>
          </w:p>
        </w:tc>
        <w:tc>
          <w:tcPr>
            <w:tcW w:type="dxa" w:w="2016"/>
            <w:shd w:val="clear" w:color="auto" w:fill="F1F3F4"/>
          </w:tcPr>
          <w:p>
            <w:pPr>
              <w:jc w:val="center"/>
            </w:pPr>
            <w:r/>
            <w:r>
              <w:rPr>
                <w:b w:val="0"/>
                <w:sz w:val="19"/>
              </w:rPr>
              <w:t>4/4 (sans vidéo/social)</w:t>
            </w:r>
          </w:p>
        </w:tc>
        <w:tc>
          <w:tcPr>
            <w:tcW w:type="dxa" w:w="1296"/>
            <w:shd w:val="clear" w:color="auto" w:fill="F1F3F4"/>
          </w:tcPr>
          <w:p>
            <w:pPr>
              <w:jc w:val="center"/>
            </w:pPr>
            <w:r/>
            <w:r>
              <w:rPr>
                <w:b w:val="0"/>
                <w:sz w:val="19"/>
              </w:rPr>
              <w:t>1/4</w:t>
            </w:r>
          </w:p>
        </w:tc>
      </w:tr>
    </w:tbl>
    <w:p/>
    <w:p>
      <w:r>
        <w:rPr>
          <w:i w:val="0"/>
          <w:sz w:val="21"/>
        </w:rPr>
        <w:t>À retenir : la couverture technique tourne autour de 30–40 % par plateforme — cohérent pour un outil de maquettage (on couvre les blocs visuellement marquants, pas les webparts techniques/M365). La priorité d’amélioration est moins le volume que (a) la profondeur du cas d’usage « Vivre l’entreprise », et (b) la parité inter-plateformes (porter video / social / imageGallery là où ils manquent).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