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pPr>
      <w:r>
        <w:rPr>
          <w:rFonts w:ascii="Calibri" w:cs="Calibri" w:eastAsia="Calibri" w:hAnsi="Calibri"/>
          <w:b/>
          <w:bCs/>
          <w:color w:val="0F2E4C"/>
          <w:sz w:val="40"/>
          <w:szCs w:val="40"/>
        </w:rPr>
        <w:t xml:space="preserve">What Is an MSME Loan? Meaning, Types, Eligibility &amp; How to Apply in 2026</w:t>
      </w:r>
    </w:p>
    <w:p>
      <w:pPr>
        <w:spacing w:after="60" w:before="260"/>
        <w:jc w:val="center"/>
      </w:pPr>
      <w:r>
        <w:drawing>
          <wp:inline distT="0" distB="0" distL="0" distR="0">
            <wp:extent cx="4381500" cy="2466975"/>
            <wp:effectExtent t="0" r="0" b="0" l="0"/>
            <wp:docPr id="1" name="Image 1" descr="A notebook titled MSME Loan on a wooden desk beside a phone and a cup of coffee" titl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81500" cy="2466975"/>
                    </a:xfrm>
                    <a:prstGeom prst="rect">
                      <a:avLst/>
                    </a:prstGeom>
                  </pic:spPr>
                </pic:pic>
              </a:graphicData>
            </a:graphic>
          </wp:inline>
        </w:drawing>
      </w:r>
    </w:p>
    <w:p>
      <w:pPr>
        <w:spacing w:after="300"/>
        <w:jc w:val="center"/>
      </w:pPr>
      <w:hyperlink w:history="1" r:id="rId17sxz1xmfsfxvriy-hygb">
        <w:r>
          <w:rPr>
            <w:rFonts w:ascii="Calibri" w:cs="Calibri" w:eastAsia="Calibri" w:hAnsi="Calibri"/>
            <w:color w:val="0B5FAE"/>
            <w:sz w:val="18"/>
            <w:szCs w:val="18"/>
            <w:u w:val="single"/>
          </w:rPr>
          <w:t xml:space="preserve">Image Source</w:t>
        </w:r>
      </w:hyperlink>
    </w:p>
    <w:p>
      <w:pPr>
        <w:spacing w:after="160" w:line="300"/>
      </w:pPr>
      <w:r>
        <w:rPr>
          <w:rFonts w:ascii="Calibri" w:cs="Calibri" w:eastAsia="Calibri" w:hAnsi="Calibri"/>
          <w:color w:val="1A1A1A"/>
          <w:sz w:val="22"/>
          <w:szCs w:val="22"/>
        </w:rPr>
        <w:t xml:space="preserve">Vikram runs a packaging unit in Pune. Orders worth Rs 80 lakh are lined up, his clients pay on 60-day terms, and he needs Rs 25 lakh for raw material now, with no spare property to pledge. That gap is what an MSME loan is built for.</w:t>
      </w:r>
    </w:p>
    <w:p>
      <w:pPr>
        <w:spacing w:after="160" w:line="300"/>
      </w:pPr>
      <w:r>
        <w:rPr>
          <w:rFonts w:ascii="Calibri" w:cs="Calibri" w:eastAsia="Calibri" w:hAnsi="Calibri"/>
          <w:color w:val="1A1A1A"/>
          <w:sz w:val="22"/>
          <w:szCs w:val="22"/>
        </w:rPr>
        <w:t xml:space="preserve">To Avail Unsecured Business Loans </w:t>
      </w:r>
      <w:hyperlink w:history="1" r:id="rIdx1jyptaqhrklz0iz4felk">
        <w:r>
          <w:rPr>
            <w:rFonts w:ascii="Calibri" w:cs="Calibri" w:eastAsia="Calibri" w:hAnsi="Calibri"/>
            <w:color w:val="0B5FAE"/>
            <w:sz w:val="22"/>
            <w:szCs w:val="22"/>
            <w:u w:val="single"/>
          </w:rPr>
          <w:t xml:space="preserve">Apply Now</w:t>
        </w:r>
      </w:hyperlink>
    </w:p>
    <w:p>
      <w:pPr>
        <w:pStyle w:val="Heading2"/>
        <w:spacing w:after="160" w:before="400"/>
      </w:pPr>
      <w:r>
        <w:rPr>
          <w:rFonts w:ascii="Calibri" w:cs="Calibri" w:eastAsia="Calibri" w:hAnsi="Calibri"/>
          <w:b/>
          <w:bCs/>
          <w:color w:val="0F2E4C"/>
          <w:sz w:val="30"/>
          <w:szCs w:val="30"/>
        </w:rPr>
        <w:t xml:space="preserve">What Is an MSME Loan?</w:t>
      </w:r>
    </w:p>
    <w:p>
      <w:pPr>
        <w:spacing w:after="160" w:line="300"/>
      </w:pPr>
      <w:r>
        <w:rPr>
          <w:rFonts w:ascii="Calibri" w:cs="Calibri" w:eastAsia="Calibri" w:hAnsi="Calibri"/>
          <w:color w:val="1A1A1A"/>
          <w:sz w:val="22"/>
          <w:szCs w:val="22"/>
        </w:rPr>
        <w:t xml:space="preserve">An MSME loan is credit for a business registered as a micro, small or medium enterprise on the Udyam portal, from banks, </w:t>
      </w:r>
      <w:hyperlink w:history="1" r:id="rIdplg5ru3afadmlyqyattjx">
        <w:r>
          <w:rPr>
            <w:rFonts w:ascii="Calibri" w:cs="Calibri" w:eastAsia="Calibri" w:hAnsi="Calibri"/>
            <w:color w:val="0B5FAE"/>
            <w:sz w:val="22"/>
            <w:szCs w:val="22"/>
            <w:u w:val="single"/>
          </w:rPr>
          <w:t xml:space="preserve">NBFCs</w:t>
        </w:r>
      </w:hyperlink>
      <w:r>
        <w:rPr>
          <w:rFonts w:ascii="Calibri" w:cs="Calibri" w:eastAsia="Calibri" w:hAnsi="Calibri"/>
          <w:color w:val="1A1A1A"/>
          <w:sz w:val="22"/>
          <w:szCs w:val="22"/>
        </w:rPr>
        <w:t xml:space="preserve"> or microfinance institutions, secured or unsecured. What sets it apart is Priority Sector Lending, under which RBI requires lenders to direct a share of credit to this segment, so rates and terms are often better than for ordinary commercial borrowing.</w:t>
      </w:r>
    </w:p>
    <w:p>
      <w:pPr>
        <w:pStyle w:val="Heading2"/>
        <w:spacing w:after="160" w:before="400"/>
      </w:pPr>
      <w:r>
        <w:rPr>
          <w:rFonts w:ascii="Calibri" w:cs="Calibri" w:eastAsia="Calibri" w:hAnsi="Calibri"/>
          <w:b/>
          <w:bCs/>
          <w:color w:val="0F2E4C"/>
          <w:sz w:val="30"/>
          <w:szCs w:val="30"/>
        </w:rPr>
        <w:t xml:space="preserve">MSME Classification From 1 April 2025</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3168"/>
        <w:gridCol w:w="3168"/>
        <w:gridCol w:w="3168"/>
      </w:tblGrid>
      <w:tr>
        <w:trPr>
          <w:tblHeader/>
        </w:trPr>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Category</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Investment in plant, machinery or equipment</w:t>
            </w:r>
          </w:p>
        </w:tc>
        <w:tc>
          <w:tcPr>
            <w:tcW w:type="dxa" w:w="3168"/>
            <w:shd w:fill="EEF2F6" w:color="auto" w:val="clear"/>
            <w:tcMar>
              <w:top w:type="dxa" w:w="80"/>
              <w:left w:type="dxa" w:w="110"/>
              <w:bottom w:type="dxa" w:w="80"/>
              <w:right w:type="dxa" w:w="110"/>
            </w:tcMar>
          </w:tcPr>
          <w:p>
            <w:pPr>
              <w:spacing w:after="0" w:line="276"/>
            </w:pPr>
            <w:r>
              <w:rPr>
                <w:rFonts w:ascii="Calibri" w:cs="Calibri" w:eastAsia="Calibri" w:hAnsi="Calibri"/>
                <w:b/>
                <w:bCs/>
                <w:color w:val="1A1A1A"/>
                <w:sz w:val="20"/>
                <w:szCs w:val="20"/>
              </w:rPr>
              <w:t xml:space="preserve">Annual turnover</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Micro</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Small</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100 crore</w:t>
            </w:r>
          </w:p>
        </w:tc>
      </w:tr>
      <w:tr>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Medium</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125 crore</w:t>
            </w:r>
          </w:p>
        </w:tc>
        <w:tc>
          <w:tcPr>
            <w:tcW w:type="dxa" w:w="3168"/>
            <w:tcMar>
              <w:top w:type="dxa" w:w="80"/>
              <w:left w:type="dxa" w:w="110"/>
              <w:bottom w:type="dxa" w:w="80"/>
              <w:right w:type="dxa" w:w="110"/>
            </w:tcMar>
          </w:tcPr>
          <w:p>
            <w:pPr>
              <w:spacing w:after="0" w:line="276"/>
            </w:pPr>
            <w:r>
              <w:rPr>
                <w:rFonts w:ascii="Calibri" w:cs="Calibri" w:eastAsia="Calibri" w:hAnsi="Calibri"/>
                <w:color w:val="1A1A1A"/>
                <w:sz w:val="20"/>
                <w:szCs w:val="20"/>
              </w:rPr>
              <w:t xml:space="preserve">Up to Rs 500 crore</w:t>
            </w:r>
          </w:p>
        </w:tc>
      </w:tr>
    </w:tbl>
    <w:p>
      <w:pPr>
        <w:spacing w:after="200"/>
      </w:pPr>
      <w:r>
        <w:t xml:space="preserve"/>
      </w:r>
    </w:p>
    <w:p>
      <w:pPr>
        <w:spacing w:after="160" w:line="300"/>
      </w:pPr>
      <w:r>
        <w:rPr>
          <w:rFonts w:ascii="Calibri" w:cs="Calibri" w:eastAsia="Calibri" w:hAnsi="Calibri"/>
          <w:color w:val="1A1A1A"/>
          <w:sz w:val="22"/>
          <w:szCs w:val="22"/>
        </w:rPr>
        <w:t xml:space="preserve">Source: Ministry of MSME, Notification S.O. 1364(E), 21 March 2025. India had 7.83 crore Udyam-registered enterprises by February 2026, and the sector supplies about 45.8% of exports.</w:t>
      </w:r>
    </w:p>
    <w:p>
      <w:pPr>
        <w:pStyle w:val="Heading2"/>
        <w:spacing w:after="160" w:before="400"/>
      </w:pPr>
      <w:r>
        <w:rPr>
          <w:rFonts w:ascii="Calibri" w:cs="Calibri" w:eastAsia="Calibri" w:hAnsi="Calibri"/>
          <w:b/>
          <w:bCs/>
          <w:color w:val="0F2E4C"/>
          <w:sz w:val="30"/>
          <w:szCs w:val="30"/>
        </w:rPr>
        <w:t xml:space="preserve">How Is an MSME Loan Used?</w:t>
      </w:r>
    </w:p>
    <w:p>
      <w:pPr>
        <w:spacing w:after="160" w:line="300"/>
      </w:pPr>
      <w:r>
        <w:rPr>
          <w:rFonts w:ascii="Calibri" w:cs="Calibri" w:eastAsia="Calibri" w:hAnsi="Calibri"/>
          <w:color w:val="1A1A1A"/>
          <w:sz w:val="22"/>
          <w:szCs w:val="22"/>
        </w:rPr>
        <w:t xml:space="preserve">Most MSME loans come without end-use restrictions, and borrowers spread the money across a handful of needs.</w:t>
      </w:r>
    </w:p>
    <w:p>
      <w:pPr>
        <w:pStyle w:val="ListParagraph"/>
        <w:numPr>
          <w:ilvl w:val="0"/>
          <w:numId w:val="2"/>
        </w:numPr>
        <w:spacing w:after="120" w:line="300"/>
      </w:pPr>
      <w:r>
        <w:rPr>
          <w:rFonts w:ascii="Calibri" w:cs="Calibri" w:eastAsia="Calibri" w:hAnsi="Calibri"/>
          <w:color w:val="1A1A1A"/>
          <w:sz w:val="22"/>
          <w:szCs w:val="22"/>
        </w:rPr>
        <w:t xml:space="preserve">Working capital first: raw material, festive-season stock, salaries through a slow month.</w:t>
      </w:r>
    </w:p>
    <w:p>
      <w:pPr>
        <w:pStyle w:val="ListParagraph"/>
        <w:numPr>
          <w:ilvl w:val="0"/>
          <w:numId w:val="2"/>
        </w:numPr>
        <w:spacing w:after="120" w:line="300"/>
      </w:pPr>
      <w:r>
        <w:rPr>
          <w:rFonts w:ascii="Calibri" w:cs="Calibri" w:eastAsia="Calibri" w:hAnsi="Calibri"/>
          <w:color w:val="1A1A1A"/>
          <w:sz w:val="22"/>
          <w:szCs w:val="22"/>
        </w:rPr>
        <w:t xml:space="preserve">Expansion, whether that means a second unit, a bigger godown or a product line the existing plant can't make.</w:t>
      </w:r>
    </w:p>
    <w:p>
      <w:pPr>
        <w:pStyle w:val="ListParagraph"/>
        <w:numPr>
          <w:ilvl w:val="0"/>
          <w:numId w:val="2"/>
        </w:numPr>
        <w:spacing w:after="120" w:line="300"/>
      </w:pPr>
      <w:r>
        <w:rPr>
          <w:rFonts w:ascii="Calibri" w:cs="Calibri" w:eastAsia="Calibri" w:hAnsi="Calibri"/>
          <w:color w:val="1A1A1A"/>
          <w:sz w:val="22"/>
          <w:szCs w:val="22"/>
        </w:rPr>
        <w:t xml:space="preserve">Machinery and technology.</w:t>
      </w:r>
    </w:p>
    <w:p>
      <w:pPr>
        <w:pStyle w:val="ListParagraph"/>
        <w:numPr>
          <w:ilvl w:val="0"/>
          <w:numId w:val="2"/>
        </w:numPr>
        <w:spacing w:after="120" w:line="300"/>
      </w:pPr>
      <w:r>
        <w:rPr>
          <w:rFonts w:ascii="Calibri" w:cs="Calibri" w:eastAsia="Calibri" w:hAnsi="Calibri"/>
          <w:color w:val="1A1A1A"/>
          <w:sz w:val="22"/>
          <w:szCs w:val="22"/>
        </w:rPr>
        <w:t xml:space="preserve">Export finance, both pre-shipment and post-shipment.</w:t>
      </w:r>
    </w:p>
    <w:p>
      <w:pPr>
        <w:pStyle w:val="ListParagraph"/>
        <w:numPr>
          <w:ilvl w:val="0"/>
          <w:numId w:val="2"/>
        </w:numPr>
        <w:spacing w:after="120" w:line="300"/>
      </w:pPr>
      <w:r>
        <w:rPr>
          <w:rFonts w:ascii="Calibri" w:cs="Calibri" w:eastAsia="Calibri" w:hAnsi="Calibri"/>
          <w:color w:val="1A1A1A"/>
          <w:sz w:val="22"/>
          <w:szCs w:val="22"/>
        </w:rPr>
        <w:t xml:space="preserve">Refinancing costlier debt, swapping an 18% overdraft for a 12% term loan.</w:t>
      </w:r>
    </w:p>
    <w:p>
      <w:pPr>
        <w:pStyle w:val="Heading2"/>
        <w:spacing w:after="160" w:before="400"/>
      </w:pPr>
      <w:r>
        <w:rPr>
          <w:rFonts w:ascii="Calibri" w:cs="Calibri" w:eastAsia="Calibri" w:hAnsi="Calibri"/>
          <w:b/>
          <w:bCs/>
          <w:color w:val="0F2E4C"/>
          <w:sz w:val="30"/>
          <w:szCs w:val="30"/>
        </w:rPr>
        <w:t xml:space="preserve">Types of MSME Loans in India</w:t>
      </w:r>
    </w:p>
    <w:p>
      <w:pPr>
        <w:pStyle w:val="ListParagraph"/>
        <w:numPr>
          <w:ilvl w:val="0"/>
          <w:numId w:val="2"/>
        </w:numPr>
        <w:spacing w:after="120" w:line="300"/>
      </w:pPr>
      <w:r>
        <w:rPr>
          <w:rFonts w:ascii="Calibri" w:cs="Calibri" w:eastAsia="Calibri" w:hAnsi="Calibri"/>
          <w:color w:val="1A1A1A"/>
          <w:sz w:val="22"/>
          <w:szCs w:val="22"/>
        </w:rPr>
        <w:t xml:space="preserve">Term loans: a lump sum repaid in EMIs over 12 to 84 months, for machinery or a new unit.</w:t>
      </w:r>
    </w:p>
    <w:p>
      <w:pPr>
        <w:pStyle w:val="ListParagraph"/>
        <w:numPr>
          <w:ilvl w:val="0"/>
          <w:numId w:val="2"/>
        </w:numPr>
        <w:spacing w:after="120" w:line="300"/>
      </w:pPr>
      <w:r>
        <w:rPr>
          <w:rFonts w:ascii="Calibri" w:cs="Calibri" w:eastAsia="Calibri" w:hAnsi="Calibri"/>
          <w:color w:val="1A1A1A"/>
          <w:sz w:val="22"/>
          <w:szCs w:val="22"/>
        </w:rPr>
        <w:t xml:space="preserve">Working capital loans: overdrafts and revolving lines for day-to-day costs.</w:t>
      </w:r>
    </w:p>
    <w:p>
      <w:pPr>
        <w:pStyle w:val="ListParagraph"/>
        <w:numPr>
          <w:ilvl w:val="0"/>
          <w:numId w:val="2"/>
        </w:numPr>
        <w:spacing w:after="120" w:line="300"/>
      </w:pPr>
      <w:r>
        <w:rPr>
          <w:rFonts w:ascii="Calibri" w:cs="Calibri" w:eastAsia="Calibri" w:hAnsi="Calibri"/>
          <w:color w:val="1A1A1A"/>
          <w:sz w:val="22"/>
          <w:szCs w:val="22"/>
        </w:rPr>
        <w:t xml:space="preserve">Equipment finance: the machine bought is the security, which lowers the rate.</w:t>
      </w:r>
    </w:p>
    <w:p>
      <w:pPr>
        <w:pStyle w:val="ListParagraph"/>
        <w:numPr>
          <w:ilvl w:val="0"/>
          <w:numId w:val="2"/>
        </w:numPr>
        <w:spacing w:after="120" w:line="300"/>
      </w:pPr>
      <w:r>
        <w:rPr>
          <w:rFonts w:ascii="Calibri" w:cs="Calibri" w:eastAsia="Calibri" w:hAnsi="Calibri"/>
          <w:color w:val="1A1A1A"/>
          <w:sz w:val="22"/>
          <w:szCs w:val="22"/>
        </w:rPr>
        <w:t xml:space="preserve">Invoice discounting: 70% to 90% of an unpaid invoice, advanced early.</w:t>
      </w:r>
    </w:p>
    <w:p>
      <w:pPr>
        <w:pStyle w:val="ListParagraph"/>
        <w:numPr>
          <w:ilvl w:val="0"/>
          <w:numId w:val="2"/>
        </w:numPr>
        <w:spacing w:after="120" w:line="300"/>
      </w:pPr>
      <w:r>
        <w:rPr>
          <w:rFonts w:ascii="Calibri" w:cs="Calibri" w:eastAsia="Calibri" w:hAnsi="Calibri"/>
          <w:color w:val="1A1A1A"/>
          <w:sz w:val="22"/>
          <w:szCs w:val="22"/>
        </w:rPr>
        <w:t xml:space="preserve">Collateral-free loans: unsecured, underwritten on GST returns and bank statements, typically up to Rs 50 lakh at NBFCs.</w:t>
      </w:r>
    </w:p>
    <w:p>
      <w:pPr>
        <w:pStyle w:val="Heading2"/>
        <w:spacing w:after="160" w:before="400"/>
      </w:pPr>
      <w:r>
        <w:rPr>
          <w:rFonts w:ascii="Calibri" w:cs="Calibri" w:eastAsia="Calibri" w:hAnsi="Calibri"/>
          <w:b/>
          <w:bCs/>
          <w:color w:val="0F2E4C"/>
          <w:sz w:val="30"/>
          <w:szCs w:val="30"/>
        </w:rPr>
        <w:t xml:space="preserve">Government Schemes Worth Knowing</w:t>
      </w:r>
    </w:p>
    <w:p>
      <w:pPr>
        <w:spacing w:after="160" w:line="300"/>
      </w:pPr>
      <w:r>
        <w:rPr>
          <w:rFonts w:ascii="Calibri" w:cs="Calibri" w:eastAsia="Calibri" w:hAnsi="Calibri"/>
          <w:color w:val="1A1A1A"/>
          <w:sz w:val="22"/>
          <w:szCs w:val="22"/>
        </w:rPr>
        <w:t xml:space="preserve">CGTMSE guarantees collateral-free loans up to Rs 10 crore, a ceiling raised from Rs 5 crore on 1 April 2025. MUDRA covers loans up to Rs 20 lakh, PSB59 gives in-principle approval up to Rs 5 crore in under an hour, and Stand-Up India funds women and SC/ST founders from Rs 10 lakh to Rs 1 crore. The general CLCSS closed in March 2020.</w:t>
      </w:r>
    </w:p>
    <w:p>
      <w:pPr>
        <w:pStyle w:val="Heading2"/>
        <w:spacing w:after="160" w:before="400"/>
      </w:pPr>
      <w:r>
        <w:rPr>
          <w:rFonts w:ascii="Calibri" w:cs="Calibri" w:eastAsia="Calibri" w:hAnsi="Calibri"/>
          <w:b/>
          <w:bCs/>
          <w:color w:val="0F2E4C"/>
          <w:sz w:val="30"/>
          <w:szCs w:val="30"/>
        </w:rPr>
        <w:t xml:space="preserve">Eligibility and Documents</w:t>
      </w:r>
    </w:p>
    <w:p>
      <w:pPr>
        <w:spacing w:after="160" w:line="300"/>
      </w:pPr>
      <w:r>
        <w:rPr>
          <w:rFonts w:ascii="Calibri" w:cs="Calibri" w:eastAsia="Calibri" w:hAnsi="Calibri"/>
          <w:color w:val="1A1A1A"/>
          <w:sz w:val="22"/>
          <w:szCs w:val="22"/>
        </w:rPr>
        <w:t xml:space="preserve">Lenders want an applicant aged 21 to 65, an active Udyam certificate, one to three years of vintage (MUDRA accepts less), a personal CIBIL score of 700 or better, and existing EMIs under half of income. Keep ready PAN and Aadhaar of the owners, the Udyam certificate, 12 months of GST returns and bank statements, and two years of ITRs. Read the Key Fact Statement before signing.</w:t>
      </w:r>
    </w:p>
    <w:p>
      <w:pPr>
        <w:pStyle w:val="Heading2"/>
        <w:spacing w:after="160" w:before="400"/>
      </w:pPr>
      <w:r>
        <w:rPr>
          <w:rFonts w:ascii="Calibri" w:cs="Calibri" w:eastAsia="Calibri" w:hAnsi="Calibri"/>
          <w:b/>
          <w:bCs/>
          <w:color w:val="0F2E4C"/>
          <w:sz w:val="30"/>
          <w:szCs w:val="30"/>
        </w:rPr>
        <w:t xml:space="preserve">Frequently Asked Questions</w:t>
      </w:r>
    </w:p>
    <w:p>
      <w:pPr>
        <w:pStyle w:val="Heading3"/>
        <w:spacing w:after="160" w:before="300"/>
      </w:pPr>
      <w:r>
        <w:rPr>
          <w:rFonts w:ascii="Calibri" w:cs="Calibri" w:eastAsia="Calibri" w:hAnsi="Calibri"/>
          <w:b/>
          <w:bCs/>
          <w:color w:val="0F2E4C"/>
          <w:sz w:val="25"/>
          <w:szCs w:val="25"/>
        </w:rPr>
        <w:t xml:space="preserve">What Documents Are Required for an MSME Loan?</w:t>
      </w:r>
    </w:p>
    <w:p>
      <w:pPr>
        <w:spacing w:after="160" w:line="300"/>
      </w:pPr>
      <w:r>
        <w:rPr>
          <w:rFonts w:ascii="Calibri" w:cs="Calibri" w:eastAsia="Calibri" w:hAnsi="Calibri"/>
          <w:color w:val="1A1A1A"/>
          <w:sz w:val="22"/>
          <w:szCs w:val="22"/>
        </w:rPr>
        <w:t xml:space="preserve">Udyam certificate, PAN and Aadhaar of the owners, registration proof, 12 months of bank statements, GST returns for the same period and two years of ITRs. Secured loans add the property or machinery papers.</w:t>
      </w:r>
    </w:p>
    <w:p>
      <w:pPr>
        <w:pStyle w:val="Heading3"/>
        <w:spacing w:after="160" w:before="300"/>
      </w:pPr>
      <w:r>
        <w:rPr>
          <w:rFonts w:ascii="Calibri" w:cs="Calibri" w:eastAsia="Calibri" w:hAnsi="Calibri"/>
          <w:b/>
          <w:bCs/>
          <w:color w:val="0F2E4C"/>
          <w:sz w:val="25"/>
          <w:szCs w:val="25"/>
        </w:rPr>
        <w:t xml:space="preserve">What Is the Repayment Tenure for an MSME Loan?</w:t>
      </w:r>
    </w:p>
    <w:p>
      <w:pPr>
        <w:spacing w:after="160" w:line="300"/>
      </w:pPr>
      <w:r>
        <w:rPr>
          <w:rFonts w:ascii="Calibri" w:cs="Calibri" w:eastAsia="Calibri" w:hAnsi="Calibri"/>
          <w:color w:val="1A1A1A"/>
          <w:sz w:val="22"/>
          <w:szCs w:val="22"/>
        </w:rPr>
        <w:t xml:space="preserve">Working capital facilities run 12 months and renew. Term loans run longer: 12 to 84 months at banks, usually 12 to 60 months for unsecured NBFC loans, and three to five years under MUDRA.</w:t>
      </w:r>
    </w:p>
    <w:p>
      <w:pPr>
        <w:pStyle w:val="Heading3"/>
        <w:spacing w:after="160" w:before="300"/>
      </w:pPr>
      <w:r>
        <w:rPr>
          <w:rFonts w:ascii="Calibri" w:cs="Calibri" w:eastAsia="Calibri" w:hAnsi="Calibri"/>
          <w:b/>
          <w:bCs/>
          <w:color w:val="0F2E4C"/>
          <w:sz w:val="25"/>
          <w:szCs w:val="25"/>
        </w:rPr>
        <w:t xml:space="preserve">Are There Subsidies Available on MSME Loans?</w:t>
      </w:r>
    </w:p>
    <w:p>
      <w:pPr>
        <w:spacing w:after="160" w:line="300"/>
      </w:pPr>
      <w:r>
        <w:rPr>
          <w:rFonts w:ascii="Calibri" w:cs="Calibri" w:eastAsia="Calibri" w:hAnsi="Calibri"/>
          <w:color w:val="1A1A1A"/>
          <w:sz w:val="22"/>
          <w:szCs w:val="22"/>
        </w:rPr>
        <w:t xml:space="preserve">Some, though none come from the lender. PMEGP pays a margin money subsidy of 15% to 35% of project cost for new units, and the Special CLCSS gives SC/ST-owned enterprises 25% on machinery. CGTMSE is a guarantee, not a subsidy.</w:t>
      </w:r>
    </w:p>
    <w:p>
      <w:pPr>
        <w:pStyle w:val="Heading3"/>
        <w:spacing w:after="160" w:before="300"/>
      </w:pPr>
      <w:r>
        <w:rPr>
          <w:rFonts w:ascii="Calibri" w:cs="Calibri" w:eastAsia="Calibri" w:hAnsi="Calibri"/>
          <w:b/>
          <w:bCs/>
          <w:color w:val="0F2E4C"/>
          <w:sz w:val="25"/>
          <w:szCs w:val="25"/>
        </w:rPr>
        <w:t xml:space="preserve">Is There a Minimum Credit Score Required for an MSME Loan?</w:t>
      </w:r>
    </w:p>
    <w:p>
      <w:pPr>
        <w:spacing w:after="160" w:line="300"/>
      </w:pPr>
      <w:r>
        <w:rPr>
          <w:rFonts w:ascii="Calibri" w:cs="Calibri" w:eastAsia="Calibri" w:hAnsi="Calibri"/>
          <w:color w:val="1A1A1A"/>
          <w:sz w:val="22"/>
          <w:szCs w:val="22"/>
        </w:rPr>
        <w:t xml:space="preserve">There's no statutory floor, but lenders watch two numbers: the proprietor's personal CIBIL score, ideally 700 or above, and for firms with exposure between Rs 10 lakh and Rs 50 crore, the CIBIL MSME Rank, where 1 to 4 is comfortable and 8 to 10 is usually a decline.</w:t>
      </w:r>
    </w:p>
    <w:sectPr>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316"/>
      </w:pPr>
    </w:lvl>
  </w:abstractNum>
  <w:abstractNum w:abstractNumId="3" w15:restartNumberingAfterBreak="0">
    <w:multiLevelType w:val="hybridMultilevel"/>
    <w:lvl w:ilvl="0" w15:tentative="1">
      <w:start w:val="1"/>
      <w:numFmt w:val="decimal"/>
      <w:lvlText w:val="%1."/>
      <w:lvlJc w:val="left"/>
      <w:pPr>
        <w:ind w:left="504" w:hanging="316"/>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7sxz1xmfsfxvriy-hygb" Type="http://schemas.openxmlformats.org/officeDocument/2006/relationships/hyperlink" Target="https://www.herofincorp.com/blog/msme-loan" TargetMode="External"/><Relationship Id="rIdx1jyptaqhrklz0iz4felk" Type="http://schemas.openxmlformats.org/officeDocument/2006/relationships/hyperlink" Target="https://www.herofincorp.com/apply-now/unsecured-business-loans" TargetMode="External"/><Relationship Id="rIdplg5ru3afadmlyqyattjx" Type="http://schemas.openxmlformats.org/officeDocument/2006/relationships/hyperlink" Target="https://www.herofincorp.com/blog/what-is-nbfc" TargetMode="External"/><Relationship Id="rId7" Type="http://schemas.openxmlformats.org/officeDocument/2006/relationships/image" Target="media/7ffdd0ffced3f323342acb354f02247129e520e1.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an MSME Loan? Meaning, Types, Eligibility &amp; How to Apply in 2026</dc:title>
  <dc:creator>SEO and Content Team</dc:creator>
  <cp:lastModifiedBy>Un-named</cp:lastModifiedBy>
  <cp:revision>1</cp:revision>
  <dcterms:created xsi:type="dcterms:W3CDTF">2026-09-17T09:23:22.221Z</dcterms:created>
  <dcterms:modified xsi:type="dcterms:W3CDTF">2026-09-17T09:23:22.222Z</dcterms:modified>
</cp:coreProperties>
</file>

<file path=docProps/custom.xml><?xml version="1.0" encoding="utf-8"?>
<Properties xmlns="http://schemas.openxmlformats.org/officeDocument/2006/custom-properties" xmlns:vt="http://schemas.openxmlformats.org/officeDocument/2006/docPropsVTypes"/>
</file>