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B5F4" w14:textId="77777777" w:rsidR="00F07289" w:rsidRDefault="00B4019C">
      <w:pPr>
        <w:pStyle w:val="Standard"/>
        <w:spacing w:line="232" w:lineRule="exact"/>
        <w:rPr>
          <w:rFonts w:ascii="Calibri" w:hAnsi="Calibri"/>
          <w:b/>
          <w:color w:val="0B0C0C"/>
          <w:spacing w:val="2"/>
          <w:sz w:val="28"/>
          <w:szCs w:val="28"/>
        </w:rPr>
      </w:pPr>
      <w:r>
        <w:rPr>
          <w:rFonts w:ascii="Calibri" w:hAnsi="Calibri"/>
          <w:b/>
          <w:color w:val="0B0C0C"/>
          <w:spacing w:val="2"/>
          <w:sz w:val="28"/>
          <w:szCs w:val="28"/>
        </w:rPr>
        <w:t>Integrated Logistic Support / Post Warranty Logistic Support mini-TWS TISA506B</w:t>
      </w:r>
    </w:p>
    <w:p w14:paraId="21FE384B" w14:textId="77777777" w:rsidR="00F07289" w:rsidRDefault="00F07289">
      <w:pPr>
        <w:pStyle w:val="Standard"/>
        <w:spacing w:line="232" w:lineRule="exact"/>
        <w:rPr>
          <w:rFonts w:ascii="Calibri" w:hAnsi="Calibri"/>
          <w:b/>
          <w:color w:val="0B0C0C"/>
          <w:spacing w:val="2"/>
          <w:sz w:val="19"/>
        </w:rPr>
      </w:pPr>
    </w:p>
    <w:p w14:paraId="30C2693E" w14:textId="77777777" w:rsidR="00F07289" w:rsidRDefault="00F07289">
      <w:pPr>
        <w:pStyle w:val="Standard"/>
        <w:spacing w:line="232" w:lineRule="exact"/>
        <w:rPr>
          <w:rFonts w:ascii="Tahoma" w:hAnsi="Tahoma"/>
          <w:b/>
          <w:color w:val="0B0C0C"/>
          <w:spacing w:val="2"/>
          <w:sz w:val="19"/>
        </w:rPr>
      </w:pPr>
    </w:p>
    <w:p w14:paraId="2D4C3AC1" w14:textId="77777777" w:rsidR="00F07289" w:rsidRDefault="00B4019C">
      <w:pPr>
        <w:pStyle w:val="Standard"/>
        <w:numPr>
          <w:ilvl w:val="0"/>
          <w:numId w:val="2"/>
        </w:numPr>
        <w:spacing w:before="57" w:after="57"/>
        <w:jc w:val="both"/>
        <w:rPr>
          <w:rFonts w:ascii="Calibri" w:hAnsi="Calibri"/>
          <w:color w:val="0B0C0C"/>
          <w:spacing w:val="2"/>
        </w:rPr>
      </w:pPr>
      <w:r>
        <w:rPr>
          <w:rFonts w:ascii="Calibri" w:hAnsi="Calibri"/>
          <w:color w:val="0B0C0C"/>
          <w:spacing w:val="2"/>
        </w:rPr>
        <w:t>Maintenance Policy</w:t>
      </w:r>
    </w:p>
    <w:p w14:paraId="6076BFAD" w14:textId="77777777" w:rsidR="00F07289" w:rsidRDefault="00B4019C">
      <w:pPr>
        <w:pStyle w:val="Standard"/>
        <w:spacing w:before="57" w:after="57"/>
        <w:ind w:left="720"/>
        <w:jc w:val="both"/>
        <w:rPr>
          <w:rFonts w:ascii="Calibri" w:hAnsi="Calibri"/>
          <w:color w:val="0B0C0C"/>
          <w:spacing w:val="2"/>
        </w:rPr>
      </w:pPr>
      <w:r>
        <w:rPr>
          <w:rFonts w:ascii="Calibri" w:hAnsi="Calibri"/>
          <w:color w:val="0B0C0C"/>
          <w:spacing w:val="2"/>
        </w:rPr>
        <w:t>The integrated logistic Support Package will be delivered along with the main equipment as deliverables including:</w:t>
      </w:r>
    </w:p>
    <w:p w14:paraId="46A42737" w14:textId="77777777" w:rsidR="00F07289" w:rsidRDefault="00B4019C">
      <w:pPr>
        <w:pStyle w:val="Standard"/>
        <w:numPr>
          <w:ilvl w:val="0"/>
          <w:numId w:val="3"/>
        </w:numPr>
        <w:spacing w:before="57" w:after="57"/>
        <w:jc w:val="both"/>
        <w:rPr>
          <w:rFonts w:ascii="Calibri" w:hAnsi="Calibri"/>
          <w:color w:val="0B0C0C"/>
          <w:spacing w:val="2"/>
        </w:rPr>
      </w:pPr>
      <w:r>
        <w:rPr>
          <w:rFonts w:ascii="Calibri" w:hAnsi="Calibri"/>
          <w:color w:val="0B0C0C"/>
          <w:spacing w:val="2"/>
        </w:rPr>
        <w:t xml:space="preserve">Initial Buy </w:t>
      </w:r>
      <w:proofErr w:type="spellStart"/>
      <w:r>
        <w:rPr>
          <w:rFonts w:ascii="Calibri" w:hAnsi="Calibri"/>
          <w:color w:val="0B0C0C"/>
          <w:spacing w:val="2"/>
        </w:rPr>
        <w:t>Buy</w:t>
      </w:r>
      <w:proofErr w:type="spellEnd"/>
      <w:r>
        <w:rPr>
          <w:rFonts w:ascii="Calibri" w:hAnsi="Calibri"/>
          <w:color w:val="0B0C0C"/>
          <w:spacing w:val="2"/>
        </w:rPr>
        <w:t xml:space="preserve"> </w:t>
      </w:r>
      <w:r>
        <w:rPr>
          <w:rFonts w:ascii="Calibri" w:hAnsi="Calibri"/>
          <w:color w:val="0B0C0C"/>
          <w:spacing w:val="2"/>
        </w:rPr>
        <w:t>Scale (IBS). Equipment is offered free of cost as goodwill gesture.</w:t>
      </w:r>
    </w:p>
    <w:p w14:paraId="22813AE1" w14:textId="77777777" w:rsidR="00F07289" w:rsidRDefault="00B4019C">
      <w:pPr>
        <w:pStyle w:val="Standard"/>
        <w:spacing w:before="57" w:after="57"/>
        <w:jc w:val="both"/>
        <w:rPr>
          <w:rFonts w:ascii="Calibri" w:hAnsi="Calibri"/>
          <w:color w:val="0B0C0C"/>
          <w:spacing w:val="2"/>
        </w:rPr>
      </w:pPr>
      <w:r>
        <w:rPr>
          <w:rFonts w:ascii="Calibri" w:hAnsi="Calibri"/>
          <w:color w:val="0B0C0C"/>
          <w:spacing w:val="2"/>
        </w:rPr>
        <w:t>Details attached.</w:t>
      </w:r>
    </w:p>
    <w:p w14:paraId="52BC91AB" w14:textId="77777777" w:rsidR="00F07289" w:rsidRDefault="00B4019C">
      <w:pPr>
        <w:pStyle w:val="Standard"/>
        <w:numPr>
          <w:ilvl w:val="0"/>
          <w:numId w:val="3"/>
        </w:numPr>
        <w:spacing w:before="57" w:after="57"/>
        <w:jc w:val="both"/>
        <w:rPr>
          <w:rFonts w:ascii="Calibri" w:hAnsi="Calibri"/>
        </w:rPr>
      </w:pPr>
      <w:r>
        <w:rPr>
          <w:rFonts w:ascii="Calibri" w:hAnsi="Calibri"/>
          <w:color w:val="0B0C0C"/>
          <w:spacing w:val="2"/>
        </w:rPr>
        <w:t>Training: Free of cost</w:t>
      </w:r>
    </w:p>
    <w:p w14:paraId="272D3559" w14:textId="77777777" w:rsidR="00F07289" w:rsidRDefault="00B4019C">
      <w:pPr>
        <w:pStyle w:val="Standard"/>
        <w:numPr>
          <w:ilvl w:val="0"/>
          <w:numId w:val="3"/>
        </w:numPr>
        <w:spacing w:before="57" w:after="57"/>
        <w:jc w:val="both"/>
        <w:rPr>
          <w:rFonts w:ascii="Calibri" w:hAnsi="Calibri"/>
          <w:color w:val="0B0C0C"/>
          <w:spacing w:val="2"/>
        </w:rPr>
      </w:pPr>
      <w:r>
        <w:rPr>
          <w:rFonts w:ascii="Calibri" w:hAnsi="Calibri"/>
          <w:color w:val="0B0C0C"/>
          <w:spacing w:val="2"/>
        </w:rPr>
        <w:t>Documentation: Free of cost</w:t>
      </w:r>
    </w:p>
    <w:p w14:paraId="0C646436" w14:textId="77777777" w:rsidR="00F07289" w:rsidRDefault="00B4019C">
      <w:pPr>
        <w:pStyle w:val="Standard"/>
        <w:numPr>
          <w:ilvl w:val="0"/>
          <w:numId w:val="3"/>
        </w:numPr>
        <w:spacing w:before="57" w:after="57"/>
        <w:jc w:val="both"/>
        <w:rPr>
          <w:rFonts w:ascii="Calibri" w:hAnsi="Calibri"/>
          <w:color w:val="0B0C0C"/>
          <w:spacing w:val="2"/>
        </w:rPr>
      </w:pPr>
      <w:r>
        <w:rPr>
          <w:rFonts w:ascii="Calibri" w:hAnsi="Calibri"/>
          <w:color w:val="0B0C0C"/>
          <w:spacing w:val="2"/>
        </w:rPr>
        <w:t>Mutually agreed upon Specific Tools &amp; Test equipment (STTEs) as per prices mentioned below</w:t>
      </w:r>
    </w:p>
    <w:p w14:paraId="02652D09" w14:textId="77777777" w:rsidR="00F07289" w:rsidRDefault="00B4019C">
      <w:pPr>
        <w:pStyle w:val="Standard"/>
        <w:spacing w:before="57" w:after="57"/>
        <w:ind w:left="720" w:hanging="360"/>
        <w:jc w:val="both"/>
        <w:rPr>
          <w:rFonts w:ascii="Calibri" w:hAnsi="Calibri"/>
          <w:color w:val="0B0C0C"/>
          <w:spacing w:val="2"/>
        </w:rPr>
      </w:pPr>
      <w:r>
        <w:rPr>
          <w:rFonts w:ascii="Calibri" w:hAnsi="Calibri"/>
          <w:color w:val="0B0C0C"/>
          <w:spacing w:val="2"/>
        </w:rPr>
        <w:t xml:space="preserve">The </w:t>
      </w:r>
      <w:r>
        <w:rPr>
          <w:rFonts w:ascii="Calibri" w:hAnsi="Calibri"/>
          <w:color w:val="0B0C0C"/>
          <w:spacing w:val="2"/>
        </w:rPr>
        <w:t>responsibility of maintenance at each level will be as under:</w:t>
      </w:r>
    </w:p>
    <w:tbl>
      <w:tblPr>
        <w:tblW w:w="8662" w:type="dxa"/>
        <w:tblInd w:w="3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7"/>
        <w:gridCol w:w="2585"/>
        <w:gridCol w:w="1964"/>
        <w:gridCol w:w="1746"/>
      </w:tblGrid>
      <w:tr w:rsidR="00F07289" w14:paraId="6ADCF741" w14:textId="77777777">
        <w:tblPrEx>
          <w:tblCellMar>
            <w:top w:w="0" w:type="dxa"/>
            <w:bottom w:w="0" w:type="dxa"/>
          </w:tblCellMar>
        </w:tblPrEx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5555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b/>
                <w:bCs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en-GB" w:bidi="ar-SA"/>
              </w:rPr>
              <w:t>Maintenance Level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9E63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b/>
                <w:bCs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en-GB" w:bidi="ar-SA"/>
              </w:rPr>
              <w:t>Scope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F3CA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b/>
                <w:bCs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en-GB" w:bidi="ar-SA"/>
              </w:rPr>
              <w:t>Execution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44C39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b/>
                <w:bCs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en-GB" w:bidi="ar-SA"/>
              </w:rPr>
              <w:t>Location of maintenance facilities</w:t>
            </w:r>
          </w:p>
        </w:tc>
      </w:tr>
      <w:tr w:rsidR="00F07289" w14:paraId="26B79A21" w14:textId="77777777">
        <w:tblPrEx>
          <w:tblCellMar>
            <w:top w:w="0" w:type="dxa"/>
            <w:bottom w:w="0" w:type="dxa"/>
          </w:tblCellMar>
        </w:tblPrEx>
        <w:trPr>
          <w:trHeight w:val="879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65C91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b/>
                <w:bCs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en-GB" w:bidi="ar-SA"/>
              </w:rPr>
              <w:t>O Level</w:t>
            </w:r>
          </w:p>
          <w:p w14:paraId="211A0C81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kern w:val="0"/>
                <w:lang w:val="en-GB" w:eastAsia="en-GB" w:bidi="ar-SA"/>
              </w:rPr>
              <w:t>(FRU* Replacement Level)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E84EE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kern w:val="0"/>
                <w:lang w:val="en-GB" w:eastAsia="en-GB" w:bidi="ar-SA"/>
              </w:rPr>
              <w:t>Operation/Replacement</w:t>
            </w:r>
          </w:p>
          <w:p w14:paraId="681E9705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kern w:val="0"/>
                <w:lang w:val="en-GB" w:eastAsia="en-GB" w:bidi="ar-SA"/>
              </w:rPr>
              <w:t>/Maintenance(cleaning) of FRUs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47EB1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kern w:val="0"/>
                <w:lang w:val="en-GB" w:eastAsia="en-GB" w:bidi="ar-SA"/>
              </w:rPr>
              <w:t>User/operator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D515F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kern w:val="0"/>
                <w:lang w:val="en-GB" w:eastAsia="en-GB" w:bidi="ar-SA"/>
              </w:rPr>
              <w:t>Field</w:t>
            </w:r>
          </w:p>
        </w:tc>
      </w:tr>
      <w:tr w:rsidR="00F07289" w14:paraId="6A237857" w14:textId="77777777">
        <w:tblPrEx>
          <w:tblCellMar>
            <w:top w:w="0" w:type="dxa"/>
            <w:bottom w:w="0" w:type="dxa"/>
          </w:tblCellMar>
        </w:tblPrEx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BE20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b/>
                <w:bCs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en-GB" w:bidi="ar-SA"/>
              </w:rPr>
              <w:t>I Level</w:t>
            </w:r>
          </w:p>
          <w:p w14:paraId="6DAABF2B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kern w:val="0"/>
                <w:lang w:val="en-GB" w:eastAsia="en-GB" w:bidi="ar-SA"/>
              </w:rPr>
              <w:t>(SRU** Replacement Level)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4C40A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kern w:val="0"/>
                <w:lang w:val="en-GB" w:eastAsia="en-GB" w:bidi="ar-SA"/>
              </w:rPr>
              <w:t>Fault Identification and Repair/Replacement of SRUs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1915D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kern w:val="0"/>
                <w:lang w:val="en-GB" w:eastAsia="en-GB" w:bidi="ar-SA"/>
              </w:rPr>
              <w:t>User’s Technical Team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2A5E7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kern w:val="0"/>
                <w:lang w:val="en-GB" w:eastAsia="en-GB" w:bidi="ar-SA"/>
              </w:rPr>
              <w:t>User Workshops (505)</w:t>
            </w:r>
          </w:p>
        </w:tc>
      </w:tr>
      <w:tr w:rsidR="00F07289" w14:paraId="230AE6A2" w14:textId="77777777">
        <w:tblPrEx>
          <w:tblCellMar>
            <w:top w:w="0" w:type="dxa"/>
            <w:bottom w:w="0" w:type="dxa"/>
          </w:tblCellMar>
        </w:tblPrEx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C9152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b/>
                <w:bCs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en-GB" w:bidi="ar-SA"/>
              </w:rPr>
              <w:t>D Level</w:t>
            </w:r>
          </w:p>
          <w:p w14:paraId="5BEFF052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kern w:val="0"/>
                <w:lang w:val="en-GB" w:eastAsia="en-GB" w:bidi="ar-SA"/>
              </w:rPr>
              <w:t xml:space="preserve"> (SRU Repair Level)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6B9C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kern w:val="0"/>
                <w:lang w:val="en-GB" w:eastAsia="en-GB" w:bidi="ar-SA"/>
              </w:rPr>
              <w:t>Repair of TI Module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3EFC7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kern w:val="0"/>
                <w:lang w:val="en-GB" w:eastAsia="en-GB" w:bidi="ar-SA"/>
              </w:rPr>
              <w:t>LEOS Technical Team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704C" w14:textId="77777777" w:rsidR="00F07289" w:rsidRDefault="00B4019C">
            <w:pPr>
              <w:pStyle w:val="ListParagraph"/>
              <w:ind w:left="0"/>
              <w:rPr>
                <w:rFonts w:ascii="Calibri" w:eastAsia="Times New Roman" w:hAnsi="Calibri" w:cs="Calibri"/>
                <w:kern w:val="0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kern w:val="0"/>
                <w:lang w:val="en-GB" w:eastAsia="en-GB" w:bidi="ar-SA"/>
              </w:rPr>
              <w:t>LEOS</w:t>
            </w:r>
          </w:p>
        </w:tc>
      </w:tr>
    </w:tbl>
    <w:p w14:paraId="743E9237" w14:textId="77777777" w:rsidR="00F07289" w:rsidRDefault="00B4019C">
      <w:pPr>
        <w:pStyle w:val="Standard"/>
        <w:spacing w:before="57" w:after="57"/>
        <w:jc w:val="both"/>
        <w:rPr>
          <w:rFonts w:ascii="Calibri" w:hAnsi="Calibri"/>
        </w:rPr>
      </w:pPr>
      <w:r>
        <w:rPr>
          <w:rFonts w:ascii="Calibri" w:hAnsi="Calibri"/>
          <w:color w:val="0B0C0C"/>
          <w:spacing w:val="2"/>
        </w:rPr>
        <w:tab/>
        <w:t>FRU: Field Replaceable Unit</w:t>
      </w:r>
    </w:p>
    <w:p w14:paraId="1F7C3F1E" w14:textId="77777777" w:rsidR="00F07289" w:rsidRDefault="00B4019C">
      <w:pPr>
        <w:pStyle w:val="Standard"/>
        <w:spacing w:before="57" w:after="57"/>
        <w:jc w:val="both"/>
        <w:rPr>
          <w:rFonts w:ascii="Calibri" w:hAnsi="Calibri"/>
          <w:color w:val="0B0C0C"/>
          <w:spacing w:val="2"/>
        </w:rPr>
      </w:pPr>
      <w:r>
        <w:rPr>
          <w:rFonts w:ascii="Calibri" w:hAnsi="Calibri"/>
          <w:color w:val="0B0C0C"/>
          <w:spacing w:val="2"/>
        </w:rPr>
        <w:tab/>
        <w:t xml:space="preserve">SRU: Shop </w:t>
      </w:r>
      <w:r>
        <w:rPr>
          <w:rFonts w:ascii="Calibri" w:hAnsi="Calibri"/>
          <w:color w:val="0B0C0C"/>
          <w:spacing w:val="2"/>
        </w:rPr>
        <w:t>Replaceable Unit</w:t>
      </w:r>
    </w:p>
    <w:p w14:paraId="7C8E348A" w14:textId="77777777" w:rsidR="00F07289" w:rsidRDefault="00F07289">
      <w:pPr>
        <w:pStyle w:val="Standard"/>
        <w:spacing w:before="57" w:after="57"/>
        <w:jc w:val="both"/>
        <w:rPr>
          <w:rFonts w:ascii="Calibri" w:hAnsi="Calibri"/>
          <w:color w:val="0B0C0C"/>
          <w:spacing w:val="2"/>
        </w:rPr>
      </w:pPr>
    </w:p>
    <w:p w14:paraId="76829FBF" w14:textId="77777777" w:rsidR="00F07289" w:rsidRDefault="00B4019C">
      <w:pPr>
        <w:pStyle w:val="Standard"/>
        <w:pageBreakBefore/>
        <w:spacing w:before="57" w:after="57"/>
        <w:jc w:val="center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color w:val="0B0C0C"/>
          <w:spacing w:val="2"/>
          <w:u w:val="single"/>
        </w:rPr>
        <w:lastRenderedPageBreak/>
        <w:t>Summary of ILS Package</w:t>
      </w:r>
    </w:p>
    <w:p w14:paraId="0C3747EB" w14:textId="77777777" w:rsidR="00F07289" w:rsidRDefault="00F07289">
      <w:pPr>
        <w:pStyle w:val="Standard"/>
        <w:spacing w:before="57" w:after="57"/>
        <w:jc w:val="center"/>
        <w:rPr>
          <w:rFonts w:ascii="Calibri" w:hAnsi="Calibri"/>
          <w:b/>
          <w:bCs/>
          <w:color w:val="0B0C0C"/>
          <w:spacing w:val="2"/>
          <w:u w:val="single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1"/>
        <w:gridCol w:w="5704"/>
        <w:gridCol w:w="3213"/>
      </w:tblGrid>
      <w:tr w:rsidR="00F07289" w14:paraId="0B19CB59" w14:textId="77777777">
        <w:tblPrEx>
          <w:tblCellMar>
            <w:top w:w="0" w:type="dxa"/>
            <w:bottom w:w="0" w:type="dxa"/>
          </w:tblCellMar>
        </w:tblPrEx>
        <w:tc>
          <w:tcPr>
            <w:tcW w:w="721" w:type="dxa"/>
            <w:vAlign w:val="center"/>
          </w:tcPr>
          <w:p w14:paraId="3FCEBAA5" w14:textId="77777777" w:rsidR="00F07289" w:rsidRDefault="00B4019C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S. No.</w:t>
            </w:r>
          </w:p>
        </w:tc>
        <w:tc>
          <w:tcPr>
            <w:tcW w:w="5704" w:type="dxa"/>
            <w:vAlign w:val="center"/>
          </w:tcPr>
          <w:p w14:paraId="78DB0F39" w14:textId="77777777" w:rsidR="00F07289" w:rsidRDefault="00B4019C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</w:t>
            </w:r>
          </w:p>
        </w:tc>
        <w:tc>
          <w:tcPr>
            <w:tcW w:w="3213" w:type="dxa"/>
            <w:vAlign w:val="center"/>
          </w:tcPr>
          <w:p w14:paraId="06E40242" w14:textId="77777777" w:rsidR="00F07289" w:rsidRDefault="00B4019C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Price</w:t>
            </w:r>
          </w:p>
          <w:p w14:paraId="74375DE3" w14:textId="77777777" w:rsidR="00F07289" w:rsidRDefault="00B4019C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PKR (Million)</w:t>
            </w:r>
          </w:p>
        </w:tc>
      </w:tr>
      <w:tr w:rsidR="00F07289" w14:paraId="5790AF9B" w14:textId="77777777">
        <w:tblPrEx>
          <w:tblCellMar>
            <w:top w:w="0" w:type="dxa"/>
            <w:bottom w:w="0" w:type="dxa"/>
          </w:tblCellMar>
        </w:tblPrEx>
        <w:tc>
          <w:tcPr>
            <w:tcW w:w="721" w:type="dxa"/>
            <w:vAlign w:val="center"/>
          </w:tcPr>
          <w:p w14:paraId="779ACECD" w14:textId="77777777" w:rsidR="00F07289" w:rsidRDefault="00B4019C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04" w:type="dxa"/>
          </w:tcPr>
          <w:p w14:paraId="08FC7487" w14:textId="77777777" w:rsidR="00F07289" w:rsidRDefault="00B4019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Spares FRU Replacement Level (O-Level)</w:t>
            </w:r>
          </w:p>
        </w:tc>
        <w:tc>
          <w:tcPr>
            <w:tcW w:w="3213" w:type="dxa"/>
          </w:tcPr>
          <w:p w14:paraId="580F21CE" w14:textId="77777777" w:rsidR="00F07289" w:rsidRDefault="00F07289">
            <w:pPr>
              <w:pStyle w:val="TableContents"/>
              <w:rPr>
                <w:rFonts w:ascii="Calibri" w:hAnsi="Calibri"/>
              </w:rPr>
            </w:pPr>
          </w:p>
        </w:tc>
      </w:tr>
      <w:tr w:rsidR="00F07289" w14:paraId="01CD1720" w14:textId="77777777">
        <w:tblPrEx>
          <w:tblCellMar>
            <w:top w:w="0" w:type="dxa"/>
            <w:bottom w:w="0" w:type="dxa"/>
          </w:tblCellMar>
        </w:tblPrEx>
        <w:tc>
          <w:tcPr>
            <w:tcW w:w="721" w:type="dxa"/>
            <w:vAlign w:val="center"/>
          </w:tcPr>
          <w:p w14:paraId="64ADA9FE" w14:textId="77777777" w:rsidR="00F07289" w:rsidRDefault="00B4019C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704" w:type="dxa"/>
          </w:tcPr>
          <w:p w14:paraId="755F698F" w14:textId="77777777" w:rsidR="00F07289" w:rsidRDefault="00B4019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Spares SRU Replacement Level (I-Level)</w:t>
            </w:r>
          </w:p>
        </w:tc>
        <w:tc>
          <w:tcPr>
            <w:tcW w:w="3213" w:type="dxa"/>
          </w:tcPr>
          <w:p w14:paraId="68618F8E" w14:textId="77777777" w:rsidR="00F07289" w:rsidRDefault="00F07289">
            <w:pPr>
              <w:pStyle w:val="TableContents"/>
              <w:rPr>
                <w:rFonts w:ascii="Calibri" w:hAnsi="Calibri"/>
              </w:rPr>
            </w:pPr>
          </w:p>
        </w:tc>
      </w:tr>
      <w:tr w:rsidR="00F07289" w14:paraId="0A2A9845" w14:textId="77777777">
        <w:tblPrEx>
          <w:tblCellMar>
            <w:top w:w="0" w:type="dxa"/>
            <w:bottom w:w="0" w:type="dxa"/>
          </w:tblCellMar>
        </w:tblPrEx>
        <w:tc>
          <w:tcPr>
            <w:tcW w:w="721" w:type="dxa"/>
            <w:vAlign w:val="center"/>
          </w:tcPr>
          <w:p w14:paraId="33FCE69D" w14:textId="77777777" w:rsidR="00F07289" w:rsidRDefault="00B4019C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704" w:type="dxa"/>
          </w:tcPr>
          <w:p w14:paraId="0827F387" w14:textId="77777777" w:rsidR="00F07289" w:rsidRDefault="00B4019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Spares SRU Repair Level (D-Level)</w:t>
            </w:r>
          </w:p>
        </w:tc>
        <w:tc>
          <w:tcPr>
            <w:tcW w:w="3213" w:type="dxa"/>
          </w:tcPr>
          <w:p w14:paraId="7FB62807" w14:textId="77777777" w:rsidR="00F07289" w:rsidRDefault="00F07289">
            <w:pPr>
              <w:pStyle w:val="TableContents"/>
              <w:rPr>
                <w:rFonts w:ascii="Calibri" w:hAnsi="Calibri"/>
              </w:rPr>
            </w:pPr>
          </w:p>
        </w:tc>
      </w:tr>
      <w:tr w:rsidR="00F07289" w14:paraId="2C70C262" w14:textId="77777777">
        <w:tblPrEx>
          <w:tblCellMar>
            <w:top w:w="0" w:type="dxa"/>
            <w:bottom w:w="0" w:type="dxa"/>
          </w:tblCellMar>
        </w:tblPrEx>
        <w:tc>
          <w:tcPr>
            <w:tcW w:w="721" w:type="dxa"/>
            <w:vAlign w:val="center"/>
          </w:tcPr>
          <w:p w14:paraId="1F204F22" w14:textId="77777777" w:rsidR="00F07289" w:rsidRDefault="00B4019C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5704" w:type="dxa"/>
          </w:tcPr>
          <w:p w14:paraId="35888A71" w14:textId="77777777" w:rsidR="00F07289" w:rsidRDefault="00B4019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D-Level Test Benches</w:t>
            </w:r>
          </w:p>
        </w:tc>
        <w:tc>
          <w:tcPr>
            <w:tcW w:w="3213" w:type="dxa"/>
          </w:tcPr>
          <w:p w14:paraId="5233E8A4" w14:textId="77777777" w:rsidR="00F07289" w:rsidRDefault="00F07289">
            <w:pPr>
              <w:pStyle w:val="TableContents"/>
              <w:rPr>
                <w:rFonts w:ascii="Calibri" w:hAnsi="Calibri"/>
              </w:rPr>
            </w:pPr>
          </w:p>
        </w:tc>
      </w:tr>
      <w:tr w:rsidR="00F07289" w14:paraId="07DF91EC" w14:textId="77777777">
        <w:tblPrEx>
          <w:tblCellMar>
            <w:top w:w="0" w:type="dxa"/>
            <w:bottom w:w="0" w:type="dxa"/>
          </w:tblCellMar>
        </w:tblPrEx>
        <w:tc>
          <w:tcPr>
            <w:tcW w:w="6425" w:type="dxa"/>
            <w:gridSpan w:val="2"/>
          </w:tcPr>
          <w:p w14:paraId="7CDDE52B" w14:textId="77777777" w:rsidR="00F07289" w:rsidRDefault="00B4019C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TOTAL (Offered Free of </w:t>
            </w:r>
            <w:r>
              <w:rPr>
                <w:rFonts w:ascii="Calibri" w:hAnsi="Calibri"/>
                <w:b/>
                <w:bCs/>
              </w:rPr>
              <w:t>Cost)</w:t>
            </w:r>
          </w:p>
        </w:tc>
        <w:tc>
          <w:tcPr>
            <w:tcW w:w="3213" w:type="dxa"/>
          </w:tcPr>
          <w:p w14:paraId="67AD8BF8" w14:textId="77777777" w:rsidR="00F07289" w:rsidRDefault="00F07289">
            <w:pPr>
              <w:pStyle w:val="TableContents"/>
              <w:rPr>
                <w:rFonts w:ascii="Calibri" w:hAnsi="Calibri"/>
              </w:rPr>
            </w:pPr>
          </w:p>
        </w:tc>
      </w:tr>
    </w:tbl>
    <w:p w14:paraId="26EDC2A2" w14:textId="77777777" w:rsidR="00F07289" w:rsidRDefault="00F07289">
      <w:pPr>
        <w:pStyle w:val="Standard"/>
        <w:spacing w:before="57" w:after="57"/>
        <w:rPr>
          <w:rFonts w:ascii="Calibri" w:hAnsi="Calibri"/>
          <w:b/>
          <w:bCs/>
          <w:color w:val="0B0C0C"/>
          <w:spacing w:val="2"/>
          <w:u w:val="single"/>
        </w:rPr>
      </w:pPr>
    </w:p>
    <w:p w14:paraId="0A5087AA" w14:textId="77777777" w:rsidR="00F07289" w:rsidRDefault="00B4019C">
      <w:pPr>
        <w:pStyle w:val="Standard"/>
        <w:numPr>
          <w:ilvl w:val="0"/>
          <w:numId w:val="4"/>
        </w:numPr>
        <w:spacing w:before="57" w:after="57"/>
        <w:rPr>
          <w:rFonts w:ascii="Calibri" w:hAnsi="Calibri"/>
          <w:b/>
          <w:bCs/>
          <w:color w:val="0B0C0C"/>
          <w:spacing w:val="2"/>
          <w:u w:val="single"/>
        </w:rPr>
      </w:pPr>
      <w:r>
        <w:rPr>
          <w:rFonts w:ascii="Calibri" w:hAnsi="Calibri"/>
          <w:b/>
          <w:bCs/>
          <w:color w:val="0B0C0C"/>
          <w:spacing w:val="2"/>
          <w:u w:val="single"/>
        </w:rPr>
        <w:t>“O-Level” Maintenance:</w:t>
      </w:r>
    </w:p>
    <w:p w14:paraId="4E712AD2" w14:textId="77777777" w:rsidR="00F07289" w:rsidRDefault="00B4019C">
      <w:pPr>
        <w:pStyle w:val="Standard"/>
        <w:numPr>
          <w:ilvl w:val="1"/>
          <w:numId w:val="4"/>
        </w:numPr>
        <w:spacing w:before="57" w:after="57"/>
        <w:rPr>
          <w:b/>
          <w:bCs/>
        </w:rPr>
      </w:pPr>
      <w:r>
        <w:rPr>
          <w:rFonts w:ascii="Calibri" w:hAnsi="Calibri"/>
          <w:b/>
          <w:bCs/>
          <w:color w:val="0B0C0C"/>
          <w:spacing w:val="2"/>
        </w:rPr>
        <w:t>Concept</w:t>
      </w:r>
    </w:p>
    <w:p w14:paraId="66849E9E" w14:textId="77777777" w:rsidR="00F07289" w:rsidRDefault="00F07289">
      <w:pPr>
        <w:pStyle w:val="Standard"/>
        <w:spacing w:before="57" w:after="57"/>
        <w:rPr>
          <w:rFonts w:ascii="Calibri" w:hAnsi="Calibri"/>
          <w:b/>
          <w:bCs/>
          <w:color w:val="0B0C0C"/>
          <w:spacing w:val="2"/>
        </w:rPr>
      </w:pPr>
    </w:p>
    <w:p w14:paraId="08C5F58F" w14:textId="77777777" w:rsidR="00F07289" w:rsidRDefault="00B4019C">
      <w:pPr>
        <w:pStyle w:val="Standard"/>
        <w:spacing w:before="57" w:after="57"/>
        <w:rPr>
          <w:rFonts w:ascii="Calibri" w:hAnsi="Calibri"/>
          <w:color w:val="0B0C0C"/>
          <w:spacing w:val="2"/>
        </w:rPr>
      </w:pPr>
      <w:r>
        <w:rPr>
          <w:rFonts w:ascii="Calibri" w:hAnsi="Calibri"/>
          <w:color w:val="0B0C0C"/>
          <w:spacing w:val="2"/>
        </w:rPr>
        <w:t xml:space="preserve">At this level, when the user declares Field Replaceable Unit (FRU) as faulty, the “O-Level” maintenance technician has to replace the faulty FRU with new one available in FRU spare parts stock. The faulty FRU </w:t>
      </w:r>
      <w:r>
        <w:rPr>
          <w:rFonts w:ascii="Calibri" w:hAnsi="Calibri"/>
          <w:color w:val="0B0C0C"/>
          <w:spacing w:val="2"/>
        </w:rPr>
        <w:t>(Cat-II) is sent to workshop for repair. The repaired FRU is sent back to the FRU replacement level spare parts stock.</w:t>
      </w:r>
    </w:p>
    <w:p w14:paraId="2D6A207A" w14:textId="77777777" w:rsidR="00F07289" w:rsidRDefault="00B4019C">
      <w:pPr>
        <w:pStyle w:val="Standard"/>
        <w:spacing w:before="57" w:after="57"/>
        <w:rPr>
          <w:rFonts w:ascii="Calibri" w:hAnsi="Calibri"/>
        </w:rPr>
      </w:pPr>
      <w:r>
        <w:rPr>
          <w:rFonts w:ascii="Calibri" w:hAnsi="Calibri"/>
          <w:color w:val="0B0C0C"/>
          <w:spacing w:val="2"/>
        </w:rPr>
        <w:t>Moreover, when the user “FRU Replacement Level” Tech declares the TI Sight as faulty, the faulty Sight is to be sent to Base workshop.</w:t>
      </w:r>
    </w:p>
    <w:p w14:paraId="5B6CC4A1" w14:textId="77777777" w:rsidR="00F07289" w:rsidRDefault="00F07289">
      <w:pPr>
        <w:pStyle w:val="Standard"/>
        <w:spacing w:before="57" w:after="57"/>
        <w:rPr>
          <w:rFonts w:ascii="Calibri" w:hAnsi="Calibri"/>
          <w:b/>
          <w:bCs/>
          <w:color w:val="0B0C0C"/>
          <w:spacing w:val="2"/>
        </w:rPr>
      </w:pPr>
    </w:p>
    <w:p w14:paraId="76C04C4C" w14:textId="77777777" w:rsidR="00F07289" w:rsidRDefault="00B4019C">
      <w:pPr>
        <w:pStyle w:val="Standard"/>
        <w:numPr>
          <w:ilvl w:val="1"/>
          <w:numId w:val="4"/>
        </w:numPr>
        <w:spacing w:before="57" w:after="57"/>
        <w:rPr>
          <w:rFonts w:ascii="Calibri" w:hAnsi="Calibri"/>
          <w:b/>
          <w:bCs/>
          <w:color w:val="0B0C0C"/>
          <w:spacing w:val="2"/>
        </w:rPr>
      </w:pPr>
      <w:r>
        <w:rPr>
          <w:rFonts w:ascii="Calibri" w:hAnsi="Calibri"/>
          <w:b/>
          <w:bCs/>
          <w:color w:val="0B0C0C"/>
          <w:spacing w:val="2"/>
        </w:rPr>
        <w:t>D</w:t>
      </w:r>
      <w:r>
        <w:rPr>
          <w:rFonts w:ascii="Calibri" w:hAnsi="Calibri"/>
          <w:b/>
          <w:bCs/>
          <w:color w:val="0B0C0C"/>
          <w:spacing w:val="2"/>
        </w:rPr>
        <w:t>ocumentation</w:t>
      </w:r>
    </w:p>
    <w:p w14:paraId="4A3BEA75" w14:textId="77777777" w:rsidR="00F07289" w:rsidRDefault="00F07289">
      <w:pPr>
        <w:pStyle w:val="Standard"/>
        <w:spacing w:before="57" w:after="57"/>
        <w:rPr>
          <w:rFonts w:ascii="Calibri" w:hAnsi="Calibri"/>
          <w:b/>
          <w:bCs/>
          <w:color w:val="0B0C0C"/>
          <w:spacing w:val="2"/>
        </w:rPr>
      </w:pPr>
    </w:p>
    <w:p w14:paraId="779E653D" w14:textId="77777777" w:rsidR="00F07289" w:rsidRDefault="00B4019C">
      <w:pPr>
        <w:pStyle w:val="Standard"/>
        <w:spacing w:before="57" w:after="57"/>
        <w:rPr>
          <w:rFonts w:ascii="Calibri" w:hAnsi="Calibri"/>
          <w:b/>
          <w:bCs/>
          <w:color w:val="0B0C0C"/>
          <w:spacing w:val="2"/>
        </w:rPr>
      </w:pPr>
      <w:r>
        <w:rPr>
          <w:rFonts w:ascii="Calibri" w:hAnsi="Calibri"/>
          <w:b/>
          <w:bCs/>
          <w:color w:val="0B0C0C"/>
          <w:spacing w:val="2"/>
        </w:rPr>
        <w:t>The documentation supplied at O-Level maintenance is as follows:</w:t>
      </w:r>
    </w:p>
    <w:p w14:paraId="129ED417" w14:textId="77777777" w:rsidR="00F07289" w:rsidRDefault="00F07289">
      <w:pPr>
        <w:pStyle w:val="Standard"/>
        <w:spacing w:before="57" w:after="57"/>
        <w:rPr>
          <w:rFonts w:ascii="Calibri" w:hAnsi="Calibri"/>
          <w:b/>
          <w:bCs/>
          <w:color w:val="0B0C0C"/>
          <w:spacing w:val="2"/>
        </w:rPr>
      </w:pPr>
    </w:p>
    <w:p w14:paraId="723B44CD" w14:textId="77777777" w:rsidR="00F07289" w:rsidRDefault="00B4019C">
      <w:pPr>
        <w:pStyle w:val="Standard"/>
        <w:numPr>
          <w:ilvl w:val="0"/>
          <w:numId w:val="5"/>
        </w:numPr>
        <w:spacing w:before="57" w:after="57"/>
        <w:rPr>
          <w:rFonts w:ascii="Calibri" w:hAnsi="Calibri"/>
          <w:color w:val="0B0C0C"/>
          <w:spacing w:val="2"/>
        </w:rPr>
      </w:pPr>
      <w:r>
        <w:rPr>
          <w:rFonts w:ascii="Calibri" w:hAnsi="Calibri"/>
          <w:color w:val="0B0C0C"/>
          <w:spacing w:val="2"/>
        </w:rPr>
        <w:t>User/Operational Manual</w:t>
      </w:r>
    </w:p>
    <w:p w14:paraId="66CB737E" w14:textId="77777777" w:rsidR="00F07289" w:rsidRDefault="00B4019C">
      <w:pPr>
        <w:pStyle w:val="Standard"/>
        <w:numPr>
          <w:ilvl w:val="0"/>
          <w:numId w:val="5"/>
        </w:numPr>
        <w:spacing w:before="57" w:after="57"/>
        <w:rPr>
          <w:rFonts w:ascii="Calibri" w:hAnsi="Calibri"/>
          <w:color w:val="0B0C0C"/>
          <w:spacing w:val="2"/>
        </w:rPr>
      </w:pPr>
      <w:r>
        <w:rPr>
          <w:rFonts w:ascii="Calibri" w:hAnsi="Calibri"/>
          <w:color w:val="0B0C0C"/>
          <w:spacing w:val="2"/>
        </w:rPr>
        <w:t>FRU Replacement Manual</w:t>
      </w:r>
    </w:p>
    <w:p w14:paraId="261A8EE7" w14:textId="77777777" w:rsidR="00F07289" w:rsidRDefault="00B4019C">
      <w:pPr>
        <w:pStyle w:val="Standard"/>
        <w:numPr>
          <w:ilvl w:val="0"/>
          <w:numId w:val="5"/>
        </w:numPr>
        <w:spacing w:before="57" w:after="57"/>
        <w:rPr>
          <w:rFonts w:ascii="Calibri" w:hAnsi="Calibri"/>
          <w:color w:val="0B0C0C"/>
          <w:spacing w:val="2"/>
        </w:rPr>
      </w:pPr>
      <w:r>
        <w:rPr>
          <w:rFonts w:ascii="Calibri" w:hAnsi="Calibri"/>
          <w:color w:val="0B0C0C"/>
          <w:spacing w:val="2"/>
        </w:rPr>
        <w:t>“FRU Replacement Level” Illustrated Parts Catalog (IPC)</w:t>
      </w:r>
    </w:p>
    <w:p w14:paraId="63E8FD7F" w14:textId="77777777" w:rsidR="00F07289" w:rsidRDefault="00F07289">
      <w:pPr>
        <w:pStyle w:val="Standard"/>
        <w:spacing w:before="57" w:after="57"/>
      </w:pPr>
    </w:p>
    <w:p w14:paraId="7C51D935" w14:textId="77777777" w:rsidR="00F07289" w:rsidRDefault="00F07289">
      <w:pPr>
        <w:pStyle w:val="Standard"/>
        <w:spacing w:before="57" w:after="57"/>
      </w:pPr>
    </w:p>
    <w:p w14:paraId="6B06D1EB" w14:textId="77777777" w:rsidR="00F07289" w:rsidRDefault="00B4019C">
      <w:pPr>
        <w:pStyle w:val="Standard"/>
        <w:numPr>
          <w:ilvl w:val="1"/>
          <w:numId w:val="4"/>
        </w:numPr>
        <w:spacing w:before="57" w:after="57"/>
        <w:rPr>
          <w:rFonts w:ascii="Calibri" w:hAnsi="Calibri"/>
          <w:b/>
          <w:bCs/>
          <w:color w:val="0B0C0C"/>
          <w:spacing w:val="2"/>
        </w:rPr>
      </w:pPr>
      <w:r>
        <w:rPr>
          <w:rFonts w:ascii="Calibri" w:hAnsi="Calibri"/>
          <w:b/>
          <w:bCs/>
          <w:color w:val="0B0C0C"/>
          <w:spacing w:val="2"/>
        </w:rPr>
        <w:t>Training</w:t>
      </w:r>
    </w:p>
    <w:p w14:paraId="7FB01463" w14:textId="77777777" w:rsidR="00F07289" w:rsidRDefault="00B4019C">
      <w:pPr>
        <w:pStyle w:val="Standard"/>
        <w:numPr>
          <w:ilvl w:val="2"/>
          <w:numId w:val="4"/>
        </w:numPr>
        <w:spacing w:before="57" w:after="57"/>
      </w:pPr>
      <w:r>
        <w:rPr>
          <w:rFonts w:ascii="Calibri" w:hAnsi="Calibri"/>
          <w:b/>
          <w:bCs/>
          <w:color w:val="0B0C0C"/>
          <w:spacing w:val="2"/>
        </w:rPr>
        <w:t>User Training</w:t>
      </w:r>
    </w:p>
    <w:p w14:paraId="210B0916" w14:textId="77777777" w:rsidR="00F07289" w:rsidRDefault="00B4019C">
      <w:pPr>
        <w:pStyle w:val="Standard"/>
        <w:spacing w:before="57" w:after="57"/>
      </w:pPr>
      <w:r>
        <w:rPr>
          <w:rFonts w:ascii="Calibri" w:hAnsi="Calibri"/>
          <w:color w:val="0B0C0C"/>
          <w:spacing w:val="2"/>
        </w:rPr>
        <w:t>The purpose of this training is to train User tr</w:t>
      </w:r>
      <w:r>
        <w:rPr>
          <w:rFonts w:ascii="Calibri" w:hAnsi="Calibri"/>
          <w:color w:val="0B0C0C"/>
          <w:spacing w:val="2"/>
        </w:rPr>
        <w:t>ainees in operating the TI TWS sight. After this training provided by LEOS, the trainees may train other users.</w:t>
      </w:r>
    </w:p>
    <w:p w14:paraId="3F6852DB" w14:textId="77777777" w:rsidR="00F07289" w:rsidRDefault="00B4019C">
      <w:pPr>
        <w:pStyle w:val="Standard"/>
        <w:numPr>
          <w:ilvl w:val="2"/>
          <w:numId w:val="4"/>
        </w:numPr>
        <w:spacing w:before="57" w:after="57"/>
        <w:rPr>
          <w:b/>
          <w:bCs/>
        </w:rPr>
      </w:pPr>
      <w:r>
        <w:rPr>
          <w:rFonts w:ascii="Calibri" w:hAnsi="Calibri"/>
          <w:b/>
          <w:bCs/>
          <w:color w:val="0B0C0C"/>
          <w:spacing w:val="2"/>
        </w:rPr>
        <w:t>Maintenance Training</w:t>
      </w:r>
    </w:p>
    <w:p w14:paraId="203F6870" w14:textId="77777777" w:rsidR="00F07289" w:rsidRDefault="00B4019C">
      <w:pPr>
        <w:pStyle w:val="Standard"/>
        <w:spacing w:before="57" w:after="57"/>
      </w:pPr>
      <w:r>
        <w:rPr>
          <w:rFonts w:ascii="Calibri" w:hAnsi="Calibri"/>
          <w:color w:val="0B0C0C"/>
          <w:spacing w:val="2"/>
        </w:rPr>
        <w:t>The purpose of this training is to train User “FRU Replacement Level” Technicians regarding FRU replacement procedures. Aft</w:t>
      </w:r>
      <w:r>
        <w:rPr>
          <w:rFonts w:ascii="Calibri" w:hAnsi="Calibri"/>
          <w:color w:val="0B0C0C"/>
          <w:spacing w:val="2"/>
        </w:rPr>
        <w:t>er this training provided by LEOS the trainees may train other technicians. Training will be provided to User’s rep/field technicians with each batch of delivered TI sights for 1x working days at locations as finalized by W&amp;E Directorate.</w:t>
      </w:r>
    </w:p>
    <w:p w14:paraId="3B96521A" w14:textId="77777777" w:rsidR="00F07289" w:rsidRDefault="00B4019C">
      <w:pPr>
        <w:pStyle w:val="Standard"/>
        <w:numPr>
          <w:ilvl w:val="1"/>
          <w:numId w:val="4"/>
        </w:numPr>
        <w:spacing w:before="57" w:after="57"/>
      </w:pPr>
      <w:r>
        <w:rPr>
          <w:rFonts w:ascii="Calibri" w:hAnsi="Calibri"/>
          <w:color w:val="0B0C0C"/>
          <w:spacing w:val="2"/>
        </w:rPr>
        <w:t>Necessary Facilit</w:t>
      </w:r>
      <w:r>
        <w:rPr>
          <w:rFonts w:ascii="Calibri" w:hAnsi="Calibri"/>
          <w:color w:val="0B0C0C"/>
          <w:spacing w:val="2"/>
        </w:rPr>
        <w:t>ies</w:t>
      </w:r>
    </w:p>
    <w:p w14:paraId="10D878E1" w14:textId="77777777" w:rsidR="00F07289" w:rsidRDefault="00B4019C">
      <w:pPr>
        <w:pStyle w:val="Standard"/>
        <w:spacing w:before="57" w:after="57"/>
      </w:pPr>
      <w:r>
        <w:rPr>
          <w:rFonts w:ascii="Calibri" w:hAnsi="Calibri"/>
          <w:color w:val="0B0C0C"/>
          <w:spacing w:val="2"/>
        </w:rPr>
        <w:t>No specific facilities are required at this level.</w:t>
      </w:r>
    </w:p>
    <w:p w14:paraId="5BA20383" w14:textId="77777777" w:rsidR="00F07289" w:rsidRDefault="00B4019C">
      <w:pPr>
        <w:pStyle w:val="Standard"/>
        <w:numPr>
          <w:ilvl w:val="1"/>
          <w:numId w:val="4"/>
        </w:numPr>
        <w:spacing w:before="57" w:after="57"/>
        <w:rPr>
          <w:b/>
          <w:bCs/>
        </w:rPr>
      </w:pPr>
      <w:r>
        <w:rPr>
          <w:rFonts w:ascii="Calibri" w:hAnsi="Calibri"/>
          <w:b/>
          <w:bCs/>
          <w:color w:val="0B0C0C"/>
          <w:spacing w:val="2"/>
        </w:rPr>
        <w:t>“FRU Replacement Level” Maintenance Tool</w:t>
      </w:r>
    </w:p>
    <w:p w14:paraId="716DA622" w14:textId="77777777" w:rsidR="00F07289" w:rsidRDefault="00B4019C">
      <w:pPr>
        <w:pStyle w:val="Standard"/>
        <w:spacing w:before="57" w:after="57"/>
      </w:pPr>
      <w:r>
        <w:rPr>
          <w:rFonts w:ascii="Calibri" w:hAnsi="Calibri"/>
          <w:color w:val="0B0C0C"/>
          <w:spacing w:val="2"/>
        </w:rPr>
        <w:t>Following tool is required:</w:t>
      </w:r>
    </w:p>
    <w:p w14:paraId="168B559F" w14:textId="77777777" w:rsidR="00F07289" w:rsidRDefault="00B4019C">
      <w:pPr>
        <w:pStyle w:val="Standard"/>
        <w:numPr>
          <w:ilvl w:val="4"/>
          <w:numId w:val="4"/>
        </w:numPr>
        <w:spacing w:before="57" w:after="57"/>
      </w:pPr>
      <w:r>
        <w:rPr>
          <w:rFonts w:ascii="Calibri" w:hAnsi="Calibri"/>
          <w:color w:val="0B0C0C"/>
          <w:spacing w:val="2"/>
        </w:rPr>
        <w:t>Cleaning Kit</w:t>
      </w:r>
    </w:p>
    <w:p w14:paraId="7A60848F" w14:textId="77777777" w:rsidR="00F07289" w:rsidRDefault="00B4019C">
      <w:pPr>
        <w:pStyle w:val="Standard"/>
        <w:numPr>
          <w:ilvl w:val="1"/>
          <w:numId w:val="4"/>
        </w:numPr>
        <w:spacing w:before="57" w:after="57"/>
        <w:rPr>
          <w:b/>
          <w:bCs/>
        </w:rPr>
      </w:pPr>
      <w:r>
        <w:rPr>
          <w:rFonts w:ascii="Calibri" w:hAnsi="Calibri"/>
          <w:b/>
          <w:bCs/>
          <w:color w:val="0B0C0C"/>
          <w:spacing w:val="2"/>
        </w:rPr>
        <w:t>“FRU Replacement Level” Spare Parts List</w:t>
      </w:r>
    </w:p>
    <w:tbl>
      <w:tblPr>
        <w:tblW w:w="10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  <w:gridCol w:w="1850"/>
        <w:gridCol w:w="2290"/>
        <w:gridCol w:w="1166"/>
        <w:gridCol w:w="1079"/>
        <w:gridCol w:w="1260"/>
        <w:gridCol w:w="1713"/>
      </w:tblGrid>
      <w:tr w:rsidR="00F07289" w14:paraId="74438096" w14:textId="77777777" w:rsidTr="002A6F02">
        <w:tblPrEx>
          <w:tblCellMar>
            <w:top w:w="0" w:type="dxa"/>
            <w:bottom w:w="0" w:type="dxa"/>
          </w:tblCellMar>
        </w:tblPrEx>
        <w:tc>
          <w:tcPr>
            <w:tcW w:w="5043" w:type="dxa"/>
            <w:gridSpan w:val="3"/>
          </w:tcPr>
          <w:p w14:paraId="63CA4CF2" w14:textId="77777777" w:rsidR="00F07289" w:rsidRDefault="00B4019C">
            <w:pPr>
              <w:pStyle w:val="TableContents"/>
              <w:jc w:val="center"/>
            </w:pPr>
            <w:r>
              <w:lastRenderedPageBreak/>
              <w:t>Item</w:t>
            </w:r>
          </w:p>
        </w:tc>
        <w:tc>
          <w:tcPr>
            <w:tcW w:w="1166" w:type="dxa"/>
          </w:tcPr>
          <w:p w14:paraId="62F6C870" w14:textId="77777777" w:rsidR="00F07289" w:rsidRDefault="00B4019C">
            <w:pPr>
              <w:pStyle w:val="TableContents"/>
            </w:pPr>
            <w:r>
              <w:t>Unit Price</w:t>
            </w:r>
          </w:p>
        </w:tc>
        <w:tc>
          <w:tcPr>
            <w:tcW w:w="1079" w:type="dxa"/>
          </w:tcPr>
          <w:p w14:paraId="30745970" w14:textId="77777777" w:rsidR="00F07289" w:rsidRDefault="00B4019C">
            <w:pPr>
              <w:pStyle w:val="TableContents"/>
              <w:jc w:val="center"/>
            </w:pPr>
            <w:r>
              <w:t>Qty</w:t>
            </w:r>
          </w:p>
        </w:tc>
        <w:tc>
          <w:tcPr>
            <w:tcW w:w="1260" w:type="dxa"/>
          </w:tcPr>
          <w:p w14:paraId="7A97F4FA" w14:textId="77777777" w:rsidR="00F07289" w:rsidRDefault="00B4019C">
            <w:pPr>
              <w:pStyle w:val="TableContents"/>
            </w:pPr>
            <w:r>
              <w:t>Total Price</w:t>
            </w:r>
          </w:p>
        </w:tc>
        <w:tc>
          <w:tcPr>
            <w:tcW w:w="1713" w:type="dxa"/>
          </w:tcPr>
          <w:p w14:paraId="329E0C1D" w14:textId="77777777" w:rsidR="00F07289" w:rsidRDefault="00F07289">
            <w:pPr>
              <w:pStyle w:val="TableContents"/>
            </w:pPr>
          </w:p>
        </w:tc>
      </w:tr>
      <w:tr w:rsidR="00F07289" w14:paraId="1F6CA476" w14:textId="77777777" w:rsidTr="002A6F02">
        <w:tblPrEx>
          <w:tblCellMar>
            <w:top w:w="0" w:type="dxa"/>
            <w:bottom w:w="0" w:type="dxa"/>
          </w:tblCellMar>
        </w:tblPrEx>
        <w:tc>
          <w:tcPr>
            <w:tcW w:w="903" w:type="dxa"/>
            <w:vMerge w:val="restart"/>
            <w:vAlign w:val="center"/>
          </w:tcPr>
          <w:p w14:paraId="5CA8E257" w14:textId="77777777" w:rsidR="00F07289" w:rsidRDefault="00B4019C">
            <w:pPr>
              <w:pStyle w:val="TableContents"/>
              <w:jc w:val="center"/>
            </w:pPr>
            <w:r>
              <w:t>Cat-I</w:t>
            </w:r>
          </w:p>
        </w:tc>
        <w:tc>
          <w:tcPr>
            <w:tcW w:w="1850" w:type="dxa"/>
          </w:tcPr>
          <w:p w14:paraId="56001A84" w14:textId="77777777" w:rsidR="00F07289" w:rsidRDefault="00B4019C">
            <w:pPr>
              <w:pStyle w:val="TableContents"/>
            </w:pPr>
            <w:r>
              <w:t>Part Number</w:t>
            </w:r>
          </w:p>
        </w:tc>
        <w:tc>
          <w:tcPr>
            <w:tcW w:w="2290" w:type="dxa"/>
          </w:tcPr>
          <w:p w14:paraId="5D061DE8" w14:textId="77777777" w:rsidR="00F07289" w:rsidRDefault="00B4019C">
            <w:pPr>
              <w:pStyle w:val="TableContents"/>
            </w:pPr>
            <w:r>
              <w:t>Nomenclature</w:t>
            </w:r>
          </w:p>
        </w:tc>
        <w:tc>
          <w:tcPr>
            <w:tcW w:w="1166" w:type="dxa"/>
          </w:tcPr>
          <w:p w14:paraId="4EB632F5" w14:textId="77777777" w:rsidR="00F07289" w:rsidRDefault="00B4019C">
            <w:pPr>
              <w:pStyle w:val="TableContents"/>
              <w:jc w:val="center"/>
            </w:pPr>
            <w:r>
              <w:t>PKR</w:t>
            </w:r>
          </w:p>
        </w:tc>
        <w:tc>
          <w:tcPr>
            <w:tcW w:w="1079" w:type="dxa"/>
          </w:tcPr>
          <w:p w14:paraId="3ECDCD80" w14:textId="77777777" w:rsidR="00F07289" w:rsidRDefault="00F07289">
            <w:pPr>
              <w:pStyle w:val="TableContents"/>
            </w:pPr>
          </w:p>
        </w:tc>
        <w:tc>
          <w:tcPr>
            <w:tcW w:w="1260" w:type="dxa"/>
          </w:tcPr>
          <w:p w14:paraId="785181EF" w14:textId="77777777" w:rsidR="00F07289" w:rsidRDefault="00B4019C">
            <w:pPr>
              <w:pStyle w:val="TableContents"/>
              <w:jc w:val="center"/>
            </w:pPr>
            <w:r>
              <w:t>PKR</w:t>
            </w:r>
          </w:p>
        </w:tc>
        <w:tc>
          <w:tcPr>
            <w:tcW w:w="1713" w:type="dxa"/>
            <w:vMerge w:val="restart"/>
            <w:vAlign w:val="center"/>
          </w:tcPr>
          <w:p w14:paraId="69F2B73E" w14:textId="77777777" w:rsidR="00F07289" w:rsidRDefault="00B4019C">
            <w:pPr>
              <w:pStyle w:val="TableContents"/>
              <w:jc w:val="center"/>
            </w:pPr>
            <w:r>
              <w:t>Offered as free of cost</w:t>
            </w:r>
          </w:p>
        </w:tc>
      </w:tr>
      <w:tr w:rsidR="00F07289" w14:paraId="7AD38029" w14:textId="77777777" w:rsidTr="002A6F02">
        <w:tblPrEx>
          <w:tblCellMar>
            <w:top w:w="0" w:type="dxa"/>
            <w:bottom w:w="0" w:type="dxa"/>
          </w:tblCellMar>
        </w:tblPrEx>
        <w:tc>
          <w:tcPr>
            <w:tcW w:w="903" w:type="dxa"/>
            <w:vMerge/>
            <w:vAlign w:val="center"/>
          </w:tcPr>
          <w:p w14:paraId="25EDFBAA" w14:textId="77777777" w:rsidR="00000000" w:rsidRDefault="00B4019C"/>
        </w:tc>
        <w:tc>
          <w:tcPr>
            <w:tcW w:w="1850" w:type="dxa"/>
          </w:tcPr>
          <w:p w14:paraId="35DC7676" w14:textId="77777777" w:rsidR="00F07289" w:rsidRDefault="00B4019C">
            <w:pPr>
              <w:pStyle w:val="TableContents"/>
            </w:pPr>
            <w:r>
              <w:t>206-01-4001</w:t>
            </w:r>
          </w:p>
        </w:tc>
        <w:tc>
          <w:tcPr>
            <w:tcW w:w="2290" w:type="dxa"/>
          </w:tcPr>
          <w:p w14:paraId="65B94E34" w14:textId="77777777" w:rsidR="00F07289" w:rsidRDefault="00B4019C">
            <w:pPr>
              <w:pStyle w:val="TableContents"/>
            </w:pPr>
            <w:r>
              <w:t>Eye Guard</w:t>
            </w:r>
          </w:p>
        </w:tc>
        <w:tc>
          <w:tcPr>
            <w:tcW w:w="1166" w:type="dxa"/>
          </w:tcPr>
          <w:p w14:paraId="10FA09B8" w14:textId="77777777" w:rsidR="00F07289" w:rsidRDefault="00F07289">
            <w:pPr>
              <w:pStyle w:val="TableContents"/>
            </w:pPr>
          </w:p>
        </w:tc>
        <w:tc>
          <w:tcPr>
            <w:tcW w:w="1079" w:type="dxa"/>
          </w:tcPr>
          <w:p w14:paraId="63538FBD" w14:textId="77777777" w:rsidR="00F07289" w:rsidRDefault="00F07289">
            <w:pPr>
              <w:pStyle w:val="TableContents"/>
            </w:pPr>
          </w:p>
        </w:tc>
        <w:tc>
          <w:tcPr>
            <w:tcW w:w="1260" w:type="dxa"/>
          </w:tcPr>
          <w:p w14:paraId="17BE32D5" w14:textId="77777777" w:rsidR="00F07289" w:rsidRDefault="00F07289">
            <w:pPr>
              <w:pStyle w:val="TableContents"/>
            </w:pPr>
          </w:p>
        </w:tc>
        <w:tc>
          <w:tcPr>
            <w:tcW w:w="1713" w:type="dxa"/>
            <w:vMerge/>
            <w:vAlign w:val="center"/>
          </w:tcPr>
          <w:p w14:paraId="76B0E1CE" w14:textId="77777777" w:rsidR="00000000" w:rsidRDefault="00B4019C"/>
        </w:tc>
      </w:tr>
      <w:tr w:rsidR="00F07289" w14:paraId="0D68D701" w14:textId="77777777" w:rsidTr="002A6F02">
        <w:tblPrEx>
          <w:tblCellMar>
            <w:top w:w="0" w:type="dxa"/>
            <w:bottom w:w="0" w:type="dxa"/>
          </w:tblCellMar>
        </w:tblPrEx>
        <w:tc>
          <w:tcPr>
            <w:tcW w:w="903" w:type="dxa"/>
            <w:vMerge/>
            <w:vAlign w:val="center"/>
          </w:tcPr>
          <w:p w14:paraId="1EE8AD7E" w14:textId="77777777" w:rsidR="00000000" w:rsidRDefault="00B4019C"/>
        </w:tc>
        <w:tc>
          <w:tcPr>
            <w:tcW w:w="1850" w:type="dxa"/>
          </w:tcPr>
          <w:p w14:paraId="5F547358" w14:textId="77777777" w:rsidR="00F07289" w:rsidRDefault="00B4019C">
            <w:pPr>
              <w:pStyle w:val="TableContents"/>
            </w:pPr>
            <w:r>
              <w:t>206-02-4001</w:t>
            </w:r>
          </w:p>
        </w:tc>
        <w:tc>
          <w:tcPr>
            <w:tcW w:w="2290" w:type="dxa"/>
          </w:tcPr>
          <w:p w14:paraId="45D9D621" w14:textId="77777777" w:rsidR="00F07289" w:rsidRDefault="00B4019C">
            <w:pPr>
              <w:pStyle w:val="TableContents"/>
            </w:pPr>
            <w:r>
              <w:t>Objective Lens Cover</w:t>
            </w:r>
          </w:p>
        </w:tc>
        <w:tc>
          <w:tcPr>
            <w:tcW w:w="1166" w:type="dxa"/>
          </w:tcPr>
          <w:p w14:paraId="50F87DB0" w14:textId="77777777" w:rsidR="00F07289" w:rsidRDefault="00F07289">
            <w:pPr>
              <w:pStyle w:val="TableContents"/>
            </w:pPr>
          </w:p>
        </w:tc>
        <w:tc>
          <w:tcPr>
            <w:tcW w:w="1079" w:type="dxa"/>
          </w:tcPr>
          <w:p w14:paraId="67FAB0A3" w14:textId="77777777" w:rsidR="00F07289" w:rsidRDefault="00F07289">
            <w:pPr>
              <w:pStyle w:val="TableContents"/>
            </w:pPr>
          </w:p>
        </w:tc>
        <w:tc>
          <w:tcPr>
            <w:tcW w:w="1260" w:type="dxa"/>
          </w:tcPr>
          <w:p w14:paraId="1757460B" w14:textId="77777777" w:rsidR="00F07289" w:rsidRDefault="00F07289">
            <w:pPr>
              <w:pStyle w:val="TableContents"/>
            </w:pPr>
          </w:p>
        </w:tc>
        <w:tc>
          <w:tcPr>
            <w:tcW w:w="1713" w:type="dxa"/>
            <w:vMerge/>
            <w:vAlign w:val="center"/>
          </w:tcPr>
          <w:p w14:paraId="0A26CBE5" w14:textId="77777777" w:rsidR="00000000" w:rsidRDefault="00B4019C"/>
        </w:tc>
      </w:tr>
      <w:tr w:rsidR="00F07289" w14:paraId="0B18B2D0" w14:textId="77777777" w:rsidTr="002A6F02">
        <w:tblPrEx>
          <w:tblCellMar>
            <w:top w:w="0" w:type="dxa"/>
            <w:bottom w:w="0" w:type="dxa"/>
          </w:tblCellMar>
        </w:tblPrEx>
        <w:tc>
          <w:tcPr>
            <w:tcW w:w="903" w:type="dxa"/>
            <w:vMerge/>
            <w:vAlign w:val="center"/>
          </w:tcPr>
          <w:p w14:paraId="0A0CE76E" w14:textId="77777777" w:rsidR="00000000" w:rsidRDefault="00B4019C"/>
        </w:tc>
        <w:tc>
          <w:tcPr>
            <w:tcW w:w="1850" w:type="dxa"/>
          </w:tcPr>
          <w:p w14:paraId="2C1724EE" w14:textId="77777777" w:rsidR="00F07289" w:rsidRDefault="00B4019C">
            <w:pPr>
              <w:pStyle w:val="TableContents"/>
            </w:pPr>
            <w:r>
              <w:t>206-05-4001</w:t>
            </w:r>
          </w:p>
        </w:tc>
        <w:tc>
          <w:tcPr>
            <w:tcW w:w="2290" w:type="dxa"/>
          </w:tcPr>
          <w:p w14:paraId="0EF07A42" w14:textId="77777777" w:rsidR="00F07289" w:rsidRDefault="00B4019C">
            <w:pPr>
              <w:pStyle w:val="TableContents"/>
            </w:pPr>
            <w:r>
              <w:t>Rechargeable Battery</w:t>
            </w:r>
          </w:p>
        </w:tc>
        <w:tc>
          <w:tcPr>
            <w:tcW w:w="1166" w:type="dxa"/>
          </w:tcPr>
          <w:p w14:paraId="3A8EE781" w14:textId="77777777" w:rsidR="00F07289" w:rsidRDefault="00F07289">
            <w:pPr>
              <w:pStyle w:val="TableContents"/>
            </w:pPr>
          </w:p>
        </w:tc>
        <w:tc>
          <w:tcPr>
            <w:tcW w:w="1079" w:type="dxa"/>
          </w:tcPr>
          <w:p w14:paraId="17541C2E" w14:textId="77777777" w:rsidR="00F07289" w:rsidRDefault="00F07289">
            <w:pPr>
              <w:pStyle w:val="TableContents"/>
            </w:pPr>
          </w:p>
        </w:tc>
        <w:tc>
          <w:tcPr>
            <w:tcW w:w="1260" w:type="dxa"/>
          </w:tcPr>
          <w:p w14:paraId="10C9BBCC" w14:textId="77777777" w:rsidR="00F07289" w:rsidRDefault="00F07289">
            <w:pPr>
              <w:pStyle w:val="TableContents"/>
            </w:pPr>
          </w:p>
        </w:tc>
        <w:tc>
          <w:tcPr>
            <w:tcW w:w="1713" w:type="dxa"/>
            <w:vMerge/>
            <w:vAlign w:val="center"/>
          </w:tcPr>
          <w:p w14:paraId="26364599" w14:textId="77777777" w:rsidR="00000000" w:rsidRDefault="00B4019C"/>
        </w:tc>
      </w:tr>
      <w:tr w:rsidR="00F07289" w14:paraId="6DF3B209" w14:textId="77777777" w:rsidTr="002A6F02">
        <w:tblPrEx>
          <w:tblCellMar>
            <w:top w:w="0" w:type="dxa"/>
            <w:bottom w:w="0" w:type="dxa"/>
          </w:tblCellMar>
        </w:tblPrEx>
        <w:tc>
          <w:tcPr>
            <w:tcW w:w="903" w:type="dxa"/>
            <w:vMerge w:val="restart"/>
            <w:vAlign w:val="center"/>
          </w:tcPr>
          <w:p w14:paraId="4D9079D4" w14:textId="77777777" w:rsidR="00F07289" w:rsidRDefault="00B4019C">
            <w:pPr>
              <w:pStyle w:val="TableContents"/>
              <w:jc w:val="center"/>
            </w:pPr>
            <w:r>
              <w:t>Cat-II</w:t>
            </w:r>
          </w:p>
        </w:tc>
        <w:tc>
          <w:tcPr>
            <w:tcW w:w="1850" w:type="dxa"/>
          </w:tcPr>
          <w:p w14:paraId="3A9E908F" w14:textId="77777777" w:rsidR="00F07289" w:rsidRDefault="00B4019C">
            <w:pPr>
              <w:pStyle w:val="TableContents"/>
            </w:pPr>
            <w:r>
              <w:t>206-</w:t>
            </w:r>
            <w:r>
              <w:t>01-4002</w:t>
            </w:r>
          </w:p>
        </w:tc>
        <w:tc>
          <w:tcPr>
            <w:tcW w:w="2290" w:type="dxa"/>
          </w:tcPr>
          <w:p w14:paraId="701C8FEB" w14:textId="77777777" w:rsidR="00F07289" w:rsidRDefault="00B4019C">
            <w:pPr>
              <w:pStyle w:val="TableContents"/>
            </w:pPr>
            <w:r>
              <w:t>Battery Charger</w:t>
            </w:r>
          </w:p>
        </w:tc>
        <w:tc>
          <w:tcPr>
            <w:tcW w:w="1166" w:type="dxa"/>
          </w:tcPr>
          <w:p w14:paraId="12CA1FA3" w14:textId="77777777" w:rsidR="00F07289" w:rsidRDefault="00F07289">
            <w:pPr>
              <w:pStyle w:val="TableContents"/>
            </w:pPr>
          </w:p>
        </w:tc>
        <w:tc>
          <w:tcPr>
            <w:tcW w:w="1079" w:type="dxa"/>
          </w:tcPr>
          <w:p w14:paraId="6F2C6E07" w14:textId="77777777" w:rsidR="00F07289" w:rsidRDefault="00F07289">
            <w:pPr>
              <w:pStyle w:val="TableContents"/>
            </w:pPr>
          </w:p>
        </w:tc>
        <w:tc>
          <w:tcPr>
            <w:tcW w:w="1260" w:type="dxa"/>
          </w:tcPr>
          <w:p w14:paraId="1685FD21" w14:textId="77777777" w:rsidR="00F07289" w:rsidRDefault="00F07289">
            <w:pPr>
              <w:pStyle w:val="TableContents"/>
            </w:pPr>
          </w:p>
        </w:tc>
        <w:tc>
          <w:tcPr>
            <w:tcW w:w="1713" w:type="dxa"/>
            <w:vMerge/>
            <w:vAlign w:val="center"/>
          </w:tcPr>
          <w:p w14:paraId="2D4C94C2" w14:textId="77777777" w:rsidR="00000000" w:rsidRDefault="00B4019C"/>
        </w:tc>
      </w:tr>
      <w:tr w:rsidR="00F07289" w14:paraId="77A764DE" w14:textId="77777777" w:rsidTr="002A6F02">
        <w:tblPrEx>
          <w:tblCellMar>
            <w:top w:w="0" w:type="dxa"/>
            <w:bottom w:w="0" w:type="dxa"/>
          </w:tblCellMar>
        </w:tblPrEx>
        <w:tc>
          <w:tcPr>
            <w:tcW w:w="903" w:type="dxa"/>
            <w:vMerge/>
            <w:vAlign w:val="center"/>
          </w:tcPr>
          <w:p w14:paraId="39020220" w14:textId="77777777" w:rsidR="00000000" w:rsidRDefault="00B4019C"/>
        </w:tc>
        <w:tc>
          <w:tcPr>
            <w:tcW w:w="1850" w:type="dxa"/>
          </w:tcPr>
          <w:p w14:paraId="1D184D09" w14:textId="77777777" w:rsidR="00F07289" w:rsidRDefault="00B4019C">
            <w:pPr>
              <w:pStyle w:val="TableContents"/>
            </w:pPr>
            <w:r>
              <w:t>206-02-4002</w:t>
            </w:r>
          </w:p>
        </w:tc>
        <w:tc>
          <w:tcPr>
            <w:tcW w:w="2290" w:type="dxa"/>
          </w:tcPr>
          <w:p w14:paraId="485009B7" w14:textId="77777777" w:rsidR="00F07289" w:rsidRDefault="00B4019C">
            <w:pPr>
              <w:pStyle w:val="TableContents"/>
            </w:pPr>
            <w:r>
              <w:t>Interface Cable</w:t>
            </w:r>
          </w:p>
        </w:tc>
        <w:tc>
          <w:tcPr>
            <w:tcW w:w="1166" w:type="dxa"/>
          </w:tcPr>
          <w:p w14:paraId="41919B34" w14:textId="77777777" w:rsidR="00F07289" w:rsidRDefault="00F07289">
            <w:pPr>
              <w:pStyle w:val="TableContents"/>
            </w:pPr>
          </w:p>
        </w:tc>
        <w:tc>
          <w:tcPr>
            <w:tcW w:w="1079" w:type="dxa"/>
          </w:tcPr>
          <w:p w14:paraId="09FBFF0C" w14:textId="77777777" w:rsidR="00F07289" w:rsidRDefault="00F07289">
            <w:pPr>
              <w:pStyle w:val="TableContents"/>
            </w:pPr>
          </w:p>
        </w:tc>
        <w:tc>
          <w:tcPr>
            <w:tcW w:w="1260" w:type="dxa"/>
          </w:tcPr>
          <w:p w14:paraId="23742B14" w14:textId="77777777" w:rsidR="00F07289" w:rsidRDefault="00F07289">
            <w:pPr>
              <w:pStyle w:val="TableContents"/>
            </w:pPr>
          </w:p>
        </w:tc>
        <w:tc>
          <w:tcPr>
            <w:tcW w:w="1713" w:type="dxa"/>
            <w:vMerge/>
            <w:vAlign w:val="center"/>
          </w:tcPr>
          <w:p w14:paraId="3AA56F30" w14:textId="77777777" w:rsidR="00000000" w:rsidRDefault="00B4019C"/>
        </w:tc>
      </w:tr>
      <w:tr w:rsidR="00F07289" w14:paraId="5F2093DC" w14:textId="77777777" w:rsidTr="002A6F02">
        <w:tblPrEx>
          <w:tblCellMar>
            <w:top w:w="0" w:type="dxa"/>
            <w:bottom w:w="0" w:type="dxa"/>
          </w:tblCellMar>
        </w:tblPrEx>
        <w:tc>
          <w:tcPr>
            <w:tcW w:w="7288" w:type="dxa"/>
            <w:gridSpan w:val="5"/>
          </w:tcPr>
          <w:p w14:paraId="6BD59015" w14:textId="77777777" w:rsidR="00F07289" w:rsidRDefault="00B4019C">
            <w:pPr>
              <w:pStyle w:val="TableContents"/>
              <w:jc w:val="center"/>
            </w:pPr>
            <w:r>
              <w:t>TOTAL PKR</w:t>
            </w:r>
          </w:p>
        </w:tc>
        <w:tc>
          <w:tcPr>
            <w:tcW w:w="1260" w:type="dxa"/>
          </w:tcPr>
          <w:p w14:paraId="7B056425" w14:textId="77777777" w:rsidR="00F07289" w:rsidRDefault="00F07289">
            <w:pPr>
              <w:pStyle w:val="TableContents"/>
            </w:pPr>
          </w:p>
        </w:tc>
        <w:tc>
          <w:tcPr>
            <w:tcW w:w="1713" w:type="dxa"/>
          </w:tcPr>
          <w:p w14:paraId="18DFDCA6" w14:textId="77777777" w:rsidR="00F07289" w:rsidRDefault="00F07289">
            <w:pPr>
              <w:pStyle w:val="TableContents"/>
            </w:pPr>
          </w:p>
        </w:tc>
      </w:tr>
    </w:tbl>
    <w:p w14:paraId="7FD54AAA" w14:textId="77777777" w:rsidR="00F07289" w:rsidRDefault="00F07289">
      <w:pPr>
        <w:pStyle w:val="Standard"/>
        <w:spacing w:before="57" w:after="57"/>
      </w:pPr>
    </w:p>
    <w:p w14:paraId="349E639B" w14:textId="77777777" w:rsidR="00F07289" w:rsidRDefault="00B4019C">
      <w:pPr>
        <w:pStyle w:val="Standard"/>
        <w:numPr>
          <w:ilvl w:val="0"/>
          <w:numId w:val="6"/>
        </w:numPr>
        <w:spacing w:before="57" w:after="57"/>
        <w:rPr>
          <w:b/>
          <w:bCs/>
        </w:rPr>
      </w:pPr>
      <w:r>
        <w:rPr>
          <w:rFonts w:ascii="Calibri" w:hAnsi="Calibri"/>
          <w:b/>
          <w:bCs/>
          <w:color w:val="0B0C0C"/>
          <w:spacing w:val="2"/>
        </w:rPr>
        <w:t>“I-Level” Maintenance:</w:t>
      </w:r>
    </w:p>
    <w:p w14:paraId="3B5FF0EC" w14:textId="77777777" w:rsidR="00F07289" w:rsidRDefault="00B4019C">
      <w:pPr>
        <w:pStyle w:val="Standard"/>
        <w:numPr>
          <w:ilvl w:val="1"/>
          <w:numId w:val="6"/>
        </w:numPr>
        <w:spacing w:before="57" w:after="57"/>
        <w:rPr>
          <w:b/>
          <w:bCs/>
        </w:rPr>
      </w:pPr>
      <w:r>
        <w:rPr>
          <w:rFonts w:ascii="Calibri" w:hAnsi="Calibri"/>
          <w:b/>
          <w:bCs/>
          <w:color w:val="0B0C0C"/>
          <w:spacing w:val="2"/>
        </w:rPr>
        <w:t>Concept</w:t>
      </w:r>
    </w:p>
    <w:p w14:paraId="6AAA6FBD" w14:textId="5D838B7A" w:rsidR="00F07289" w:rsidRDefault="00B4019C">
      <w:pPr>
        <w:pStyle w:val="Standard"/>
        <w:spacing w:before="57" w:after="57"/>
        <w:rPr>
          <w:rFonts w:ascii="Calibri" w:hAnsi="Calibri"/>
          <w:color w:val="0B0C0C"/>
          <w:spacing w:val="2"/>
        </w:rPr>
      </w:pPr>
      <w:r w:rsidRPr="00C73FB9">
        <w:rPr>
          <w:rFonts w:ascii="Calibri" w:hAnsi="Calibri"/>
          <w:color w:val="0B0C0C"/>
          <w:spacing w:val="2"/>
        </w:rPr>
        <w:t xml:space="preserve">At </w:t>
      </w:r>
      <w:r w:rsidRPr="00C73FB9">
        <w:rPr>
          <w:rFonts w:ascii="Calibri" w:hAnsi="Calibri"/>
          <w:color w:val="0B0C0C"/>
          <w:spacing w:val="2"/>
        </w:rPr>
        <w:t>this level, the “I-Level” maintenance tech performs the test procedures using “SRU replacement level” STTEs for localizing the faulty SRU. Workshop (505) Technician replaces the faulty SRU with new/operational SRU available in SRU spare parts stock.</w:t>
      </w:r>
    </w:p>
    <w:p w14:paraId="680CEA48" w14:textId="77777777" w:rsidR="00C73FB9" w:rsidRDefault="00C73FB9">
      <w:pPr>
        <w:pStyle w:val="Standard"/>
        <w:spacing w:before="57" w:after="57"/>
        <w:rPr>
          <w:rFonts w:ascii="Calibri" w:hAnsi="Calibri"/>
          <w:color w:val="0B0C0C"/>
          <w:spacing w:val="2"/>
        </w:rPr>
      </w:pPr>
    </w:p>
    <w:p w14:paraId="1A8AC01B" w14:textId="57EADC29" w:rsidR="00C73FB9" w:rsidRPr="00C73FB9" w:rsidRDefault="00C73FB9">
      <w:pPr>
        <w:pStyle w:val="Standard"/>
        <w:spacing w:before="57" w:after="57"/>
      </w:pPr>
      <w:r>
        <w:rPr>
          <w:rFonts w:ascii="Calibri" w:hAnsi="Calibri"/>
          <w:color w:val="0B0C0C"/>
          <w:spacing w:val="2"/>
        </w:rPr>
        <w:t>Documentation</w:t>
      </w:r>
    </w:p>
    <w:sectPr w:rsidR="00C73FB9" w:rsidRPr="00C73FB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16EF0" w14:textId="77777777" w:rsidR="00B4019C" w:rsidRDefault="00B4019C">
      <w:r>
        <w:separator/>
      </w:r>
    </w:p>
  </w:endnote>
  <w:endnote w:type="continuationSeparator" w:id="0">
    <w:p w14:paraId="73E4A6AF" w14:textId="77777777" w:rsidR="00B4019C" w:rsidRDefault="00B40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77697" w14:textId="77777777" w:rsidR="00B4019C" w:rsidRDefault="00B4019C">
      <w:r>
        <w:rPr>
          <w:color w:val="000000"/>
        </w:rPr>
        <w:separator/>
      </w:r>
    </w:p>
  </w:footnote>
  <w:footnote w:type="continuationSeparator" w:id="0">
    <w:p w14:paraId="2218CA78" w14:textId="77777777" w:rsidR="00B4019C" w:rsidRDefault="00B40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7C2"/>
    <w:multiLevelType w:val="multilevel"/>
    <w:tmpl w:val="42FAF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F24B65"/>
    <w:multiLevelType w:val="multilevel"/>
    <w:tmpl w:val="683059C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CA704BF"/>
    <w:multiLevelType w:val="multilevel"/>
    <w:tmpl w:val="83D29B42"/>
    <w:styleLink w:val="WWNum2"/>
    <w:lvl w:ilvl="0">
      <w:start w:val="1"/>
      <w:numFmt w:val="lowerLetter"/>
      <w:lvlText w:val="%1)"/>
      <w:lvlJc w:val="left"/>
      <w:pPr>
        <w:ind w:left="720" w:firstLine="0"/>
      </w:pPr>
      <w:rPr>
        <w:rFonts w:ascii="Tahoma" w:hAnsi="Tahoma"/>
        <w:strike w:val="0"/>
        <w:dstrike w:val="0"/>
        <w:color w:val="0B0C0C"/>
        <w:spacing w:val="2"/>
        <w:w w:val="100"/>
        <w:position w:val="0"/>
        <w:sz w:val="19"/>
        <w:vertAlign w:val="baseline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EF11807"/>
    <w:multiLevelType w:val="multilevel"/>
    <w:tmpl w:val="10E8D73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4" w15:restartNumberingAfterBreak="0">
    <w:nsid w:val="679F11E0"/>
    <w:multiLevelType w:val="multilevel"/>
    <w:tmpl w:val="F354645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5" w15:restartNumberingAfterBreak="0">
    <w:nsid w:val="7210159F"/>
    <w:multiLevelType w:val="multilevel"/>
    <w:tmpl w:val="4FE8F30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520" w:hanging="360"/>
      </w:pPr>
    </w:lvl>
    <w:lvl w:ilvl="4">
      <w:start w:val="1"/>
      <w:numFmt w:val="lowerLetter"/>
      <w:lvlText w:val="%5)"/>
      <w:lvlJc w:val="left"/>
      <w:pPr>
        <w:ind w:left="2880" w:hanging="360"/>
      </w:pPr>
    </w:lvl>
    <w:lvl w:ilvl="5">
      <w:start w:val="1"/>
      <w:numFmt w:val="lowerLetter"/>
      <w:lvlText w:val="%6)"/>
      <w:lvlJc w:val="left"/>
      <w:pPr>
        <w:ind w:left="3240" w:hanging="360"/>
      </w:pPr>
    </w:lvl>
    <w:lvl w:ilvl="6">
      <w:start w:val="1"/>
      <w:numFmt w:val="lowerLetter"/>
      <w:lvlText w:val="%7)"/>
      <w:lvlJc w:val="left"/>
      <w:pPr>
        <w:ind w:left="3600" w:hanging="360"/>
      </w:pPr>
    </w:lvl>
    <w:lvl w:ilvl="7">
      <w:start w:val="1"/>
      <w:numFmt w:val="lowerLetter"/>
      <w:lvlText w:val="%8)"/>
      <w:lvlJc w:val="left"/>
      <w:pPr>
        <w:ind w:left="3960" w:hanging="360"/>
      </w:pPr>
    </w:lvl>
    <w:lvl w:ilvl="8">
      <w:start w:val="1"/>
      <w:numFmt w:val="lowerLetter"/>
      <w:lvlText w:val="%9)"/>
      <w:lvlJc w:val="left"/>
      <w:pPr>
        <w:ind w:left="432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07289"/>
    <w:rsid w:val="002A6F02"/>
    <w:rsid w:val="00B4019C"/>
    <w:rsid w:val="00B63F85"/>
    <w:rsid w:val="00C73FB9"/>
    <w:rsid w:val="00F0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5ADD"/>
  <w15:docId w15:val="{2521C82B-6DAB-4562-A8B9-70194F59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  <w:rPr>
      <w:rFonts w:ascii="Tahoma" w:eastAsia="Tahoma" w:hAnsi="Tahoma" w:cs="Tahoma"/>
      <w:strike w:val="0"/>
      <w:dstrike w:val="0"/>
      <w:color w:val="0B0C0C"/>
      <w:spacing w:val="2"/>
      <w:w w:val="100"/>
      <w:position w:val="0"/>
      <w:sz w:val="19"/>
      <w:vertAlign w:val="baseline"/>
      <w:lang w:val="en-US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2">
    <w:name w:val="WWNum2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Irshad</dc:creator>
  <cp:lastModifiedBy>Muhammad Ali</cp:lastModifiedBy>
  <cp:revision>2</cp:revision>
  <dcterms:created xsi:type="dcterms:W3CDTF">2023-02-26T10:14:00Z</dcterms:created>
  <dcterms:modified xsi:type="dcterms:W3CDTF">2023-02-27T04:09:00Z</dcterms:modified>
</cp:coreProperties>
</file>