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SHAP Explainability for Loan Default Prediction – Final Project Report</w:t>
      </w:r>
    </w:p>
    <w:p>
      <w:pPr>
        <w:pStyle w:val="Heading2"/>
      </w:pPr>
      <w:r>
        <w:t>1. Introduction</w:t>
      </w:r>
    </w:p>
    <w:p>
      <w:r>
        <w:t>This project applies SHAP (SHapley Additive exPlanations) to interpret a machine learning model built for predicting loan default risk. The objective is to provide both global and local explanations for model behavior, assess stability, and extract actionable insights for decision-making.</w:t>
      </w:r>
    </w:p>
    <w:p>
      <w:pPr>
        <w:pStyle w:val="Heading2"/>
      </w:pPr>
      <w:r>
        <w:t>2. Dataset Overview</w:t>
      </w:r>
    </w:p>
    <w:p>
      <w:r>
        <w:t>The dataset includes customer demographics, financial details, loan attributes, and credit features. Target variable: loan_status (1 = default, 0 = non-default). Approximately 32,000 records were used.</w:t>
      </w:r>
    </w:p>
    <w:p>
      <w:pPr>
        <w:pStyle w:val="Heading2"/>
      </w:pPr>
      <w:r>
        <w:t>3. Model Overview</w:t>
      </w:r>
    </w:p>
    <w:p>
      <w:r>
        <w:t>A XGBoost Classifier was trained using 200 estimators. The model achieved 93.69% accuracy with the following metrics:</w:t>
      </w:r>
    </w:p>
    <w:p>
      <w:r>
        <w:t>- Precision (default=1): 0.95</w:t>
      </w:r>
    </w:p>
    <w:p>
      <w:r>
        <w:t>- Recall (default=1): 0.75</w:t>
      </w:r>
    </w:p>
    <w:p>
      <w:r>
        <w:t>- F1-score (default=1): 0.84</w:t>
      </w:r>
    </w:p>
    <w:p>
      <w:pPr>
        <w:pStyle w:val="Heading2"/>
      </w:pPr>
      <w:r>
        <w:t>4. SHAP Explainability Method</w:t>
      </w:r>
    </w:p>
    <w:p>
      <w:r>
        <w:t>TreeExplainer was used to compute SHAP values for global and local interpretations. Outputs include summary plots, force plots, waterfall plots, stability analysis, and instance-level narratives.</w:t>
      </w:r>
    </w:p>
    <w:p>
      <w:pPr>
        <w:pStyle w:val="Heading2"/>
      </w:pPr>
      <w:r>
        <w:t>5. Global SHAP Explanations</w:t>
      </w:r>
    </w:p>
    <w:p>
      <w:r>
        <w:t>Top 10 important features:</w:t>
      </w:r>
    </w:p>
    <w:p>
      <w:r>
        <w:t>1. person_income</w:t>
      </w:r>
    </w:p>
    <w:p>
      <w:r>
        <w:t>2. loan_percent_income</w:t>
      </w:r>
    </w:p>
    <w:p>
      <w:r>
        <w:t>3. loan_int_rate</w:t>
      </w:r>
    </w:p>
    <w:p>
      <w:r>
        <w:t>4. person_home_ownership_RENT</w:t>
      </w:r>
    </w:p>
    <w:p>
      <w:r>
        <w:t>5. loan_intent_VENTURE</w:t>
      </w:r>
    </w:p>
    <w:p>
      <w:r>
        <w:t>6. loan_amnt</w:t>
      </w:r>
    </w:p>
    <w:p>
      <w:r>
        <w:t>7. person_home_ownership_OWN</w:t>
      </w:r>
    </w:p>
    <w:p>
      <w:r>
        <w:t>8. loan_grade_D</w:t>
      </w:r>
    </w:p>
    <w:p>
      <w:r>
        <w:t>9. person_emp_length</w:t>
      </w:r>
    </w:p>
    <w:p>
      <w:r>
        <w:t>10. person_age</w:t>
      </w:r>
    </w:p>
    <w:p>
      <w:pPr>
        <w:pStyle w:val="Heading2"/>
      </w:pPr>
      <w:r>
        <w:t>6. Stability Analysis</w:t>
      </w:r>
    </w:p>
    <w:p>
      <w:r>
        <w:t>SHAP feature ranking stability results:</w:t>
      </w:r>
    </w:p>
    <w:p>
      <w:r>
        <w:t>Spearman rho = 0.9966 (very high)</w:t>
      </w:r>
    </w:p>
    <w:p>
      <w:r>
        <w:t>Top-10 overlap = 10/10</w:t>
      </w:r>
    </w:p>
    <w:p>
      <w:r>
        <w:t>Interpretation: SHAP explanations are extremely stable and reliable.</w:t>
      </w:r>
    </w:p>
    <w:p>
      <w:pPr>
        <w:pStyle w:val="Heading2"/>
      </w:pPr>
      <w:r>
        <w:t>7. Local Explanations (Case Studies)</w:t>
      </w:r>
    </w:p>
    <w:p>
      <w:r>
        <w:t>Five explainability narratives were generated using waterfall and force plots.</w:t>
      </w:r>
    </w:p>
    <w:p/>
    <w:p>
      <w:r>
        <w:t>Case 1 – False Positive</w:t>
      </w:r>
    </w:p>
    <w:p>
      <w:r>
        <w:t>Model incorrectly predicted default due to loan_grade_D and high interest rate.</w:t>
      </w:r>
    </w:p>
    <w:p/>
    <w:p>
      <w:r>
        <w:t>Case 2 – False Positive</w:t>
      </w:r>
    </w:p>
    <w:p>
      <w:r>
        <w:t>Risk driven by loan_grade_D and high loan_int_rate.</w:t>
      </w:r>
    </w:p>
    <w:p/>
    <w:p>
      <w:r>
        <w:t>Case 3 – True Negative</w:t>
      </w:r>
    </w:p>
    <w:p>
      <w:r>
        <w:t>Model accurately classified low-risk borrower based on strong credit indicators.</w:t>
      </w:r>
    </w:p>
    <w:p/>
    <w:p>
      <w:r>
        <w:t>Case 4 – True Negative</w:t>
      </w:r>
    </w:p>
    <w:p>
      <w:r>
        <w:t>Accurate non-default classification driven by stable income-loan ratio.</w:t>
      </w:r>
    </w:p>
    <w:p/>
    <w:p>
      <w:r>
        <w:t>Case 5 – False Negative</w:t>
      </w:r>
    </w:p>
    <w:p>
      <w:r>
        <w:t>Default missed due to absence of strong structural risk markers.</w:t>
      </w:r>
    </w:p>
    <w:p>
      <w:pPr>
        <w:pStyle w:val="Heading2"/>
      </w:pPr>
      <w:r>
        <w:t>8. Actionable Insights</w:t>
      </w:r>
    </w:p>
    <w:p>
      <w:r>
        <w:t>1. Loan-to-income ratio is a critical determinant of risk.</w:t>
      </w:r>
    </w:p>
    <w:p>
      <w:r>
        <w:t>2. Interest rate acts as a proxy risk indicator.</w:t>
      </w:r>
    </w:p>
    <w:p>
      <w:r>
        <w:t>3. Home ownership status strongly influences repayment behavior.</w:t>
      </w:r>
    </w:p>
    <w:p>
      <w:pPr>
        <w:pStyle w:val="Heading2"/>
      </w:pPr>
      <w:r>
        <w:t>9. Limitations</w:t>
      </w:r>
    </w:p>
    <w:p>
      <w:r>
        <w:t>SHAP explains correlations but not causation. One-hot encoded categorical features spread importance across multiple binaries. Dataset imbalance may lead to false negatives.</w:t>
      </w:r>
    </w:p>
    <w:p>
      <w:pPr>
        <w:pStyle w:val="Heading2"/>
      </w:pPr>
      <w:r>
        <w:t>10. Conclusion</w:t>
      </w:r>
    </w:p>
    <w:p>
      <w:r>
        <w:t>SHAP successfully provides transparent and stable explanations for the loan default model. The model’s top risk drivers align with financial domain expectations, improving trust and interpretability.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