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sz w:val="46"/>
          <w:szCs w:val="46"/>
        </w:rPr>
      </w:pPr>
      <w:bookmarkStart w:colFirst="0" w:colLast="0" w:name="_b1d7n6b08iru" w:id="0"/>
      <w:bookmarkEnd w:id="0"/>
      <w:r w:rsidDel="00000000" w:rsidR="00000000" w:rsidRPr="00000000">
        <w:rPr>
          <w:b w:val="1"/>
          <w:sz w:val="46"/>
          <w:szCs w:val="46"/>
          <w:rtl w:val="0"/>
        </w:rPr>
        <w:t xml:space="preserve">🏗️ GentleΩ — Business Foundation (Base of Pyramid)</w:t>
      </w:r>
    </w:p>
    <w:p w:rsidR="00000000" w:rsidDel="00000000" w:rsidP="00000000" w:rsidRDefault="00000000" w:rsidRPr="00000000" w14:paraId="00000002">
      <w:pPr>
        <w:spacing w:after="240" w:before="240" w:lineRule="auto"/>
        <w:ind w:left="600" w:right="600" w:firstLine="0"/>
        <w:jc w:val="both"/>
        <w:rPr/>
      </w:pPr>
      <w:r w:rsidDel="00000000" w:rsidR="00000000" w:rsidRPr="00000000">
        <w:rPr>
          <w:b w:val="1"/>
          <w:rtl w:val="0"/>
        </w:rPr>
        <w:t xml:space="preserve">Living Document</w:t>
      </w:r>
      <w:r w:rsidDel="00000000" w:rsidR="00000000" w:rsidRPr="00000000">
        <w:rPr>
          <w:rtl w:val="0"/>
        </w:rPr>
        <w:t xml:space="preserve"> — single source of truth for </w:t>
      </w:r>
      <w:r w:rsidDel="00000000" w:rsidR="00000000" w:rsidRPr="00000000">
        <w:rPr>
          <w:i w:val="1"/>
          <w:rtl w:val="0"/>
        </w:rPr>
        <w:t xml:space="preserve">why</w:t>
      </w:r>
      <w:r w:rsidDel="00000000" w:rsidR="00000000" w:rsidRPr="00000000">
        <w:rPr>
          <w:rtl w:val="0"/>
        </w:rPr>
        <w:t xml:space="preserve"> we exist and </w:t>
      </w:r>
      <w:r w:rsidDel="00000000" w:rsidR="00000000" w:rsidRPr="00000000">
        <w:rPr>
          <w:i w:val="1"/>
          <w:rtl w:val="0"/>
        </w:rPr>
        <w:t xml:space="preserve">how</w:t>
      </w:r>
      <w:r w:rsidDel="00000000" w:rsidR="00000000" w:rsidRPr="00000000">
        <w:rPr>
          <w:rtl w:val="0"/>
        </w:rPr>
        <w:t xml:space="preserve"> funds circulate with transparency. Designed to be updated as campaigns, policies, or laws evolve.</w:t>
      </w:r>
    </w:p>
    <w:p w:rsidR="00000000" w:rsidDel="00000000" w:rsidP="00000000" w:rsidRDefault="00000000" w:rsidRPr="00000000" w14:paraId="0000000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b w:val="1"/>
          <w:sz w:val="34"/>
          <w:szCs w:val="34"/>
        </w:rPr>
      </w:pPr>
      <w:bookmarkStart w:colFirst="0" w:colLast="0" w:name="_sasf9eg93bh0" w:id="1"/>
      <w:bookmarkEnd w:id="1"/>
      <w:r w:rsidDel="00000000" w:rsidR="00000000" w:rsidRPr="00000000">
        <w:rPr>
          <w:b w:val="1"/>
          <w:sz w:val="34"/>
          <w:szCs w:val="34"/>
          <w:rtl w:val="0"/>
        </w:rPr>
        <w:t xml:space="preserve">1) Purpose</w:t>
      </w:r>
    </w:p>
    <w:p w:rsidR="00000000" w:rsidDel="00000000" w:rsidP="00000000" w:rsidRDefault="00000000" w:rsidRPr="00000000" w14:paraId="00000005">
      <w:pPr>
        <w:numPr>
          <w:ilvl w:val="0"/>
          <w:numId w:val="7"/>
        </w:numPr>
        <w:spacing w:after="0" w:afterAutospacing="0" w:before="240" w:lineRule="auto"/>
        <w:ind w:left="720" w:hanging="360"/>
        <w:jc w:val="both"/>
      </w:pPr>
      <w:r w:rsidDel="00000000" w:rsidR="00000000" w:rsidRPr="00000000">
        <w:rPr>
          <w:b w:val="1"/>
          <w:rtl w:val="0"/>
        </w:rPr>
        <w:t xml:space="preserve">Reason for existence:</w:t>
      </w:r>
      <w:r w:rsidDel="00000000" w:rsidR="00000000" w:rsidRPr="00000000">
        <w:rPr>
          <w:rtl w:val="0"/>
        </w:rPr>
        <w:t xml:space="preserve"> Empower a visionary public–private cooperative to ignite and scale AI‑driven initiatives with absolute transparency, financial integrity, and accountable governance—serving the public good by transforming inspired ideas into sustainable opportunities. The intent is to ensure that prosperity flows with dignity and honesty, uniting tangible quality of life with thoughtful, ethical, and intelligent growth toward collective wealth and well‑being.</w:t>
        <w:br w:type="textWrapping"/>
      </w:r>
    </w:p>
    <w:p w:rsidR="00000000" w:rsidDel="00000000" w:rsidP="00000000" w:rsidRDefault="00000000" w:rsidRPr="00000000" w14:paraId="00000006">
      <w:pPr>
        <w:numPr>
          <w:ilvl w:val="0"/>
          <w:numId w:val="7"/>
        </w:numPr>
        <w:spacing w:after="0" w:afterAutospacing="0" w:before="0" w:beforeAutospacing="0" w:lineRule="auto"/>
        <w:ind w:left="720" w:hanging="360"/>
        <w:jc w:val="both"/>
      </w:pPr>
      <w:r w:rsidDel="00000000" w:rsidR="00000000" w:rsidRPr="00000000">
        <w:rPr>
          <w:b w:val="1"/>
          <w:rtl w:val="0"/>
        </w:rPr>
        <w:t xml:space="preserve">Transparency principle:</w:t>
      </w:r>
      <w:r w:rsidDel="00000000" w:rsidR="00000000" w:rsidRPr="00000000">
        <w:rPr>
          <w:rtl w:val="0"/>
        </w:rPr>
        <w:t xml:space="preserve"> Every tender, share, payout, and refund must trace its lineage to a transparent framework of verifiable rules, immutable records, and openly visible dashboards. This principle embodies our ethos of dignified honesty and modern accountability — where clarity is not optional but celebrated. Every movement of capital or commitment echoes a culture of trust, precision, and professional pride, designed to inspire confidence among partners, investors, and the public alike.</w:t>
        <w:br w:type="textWrapping"/>
      </w:r>
    </w:p>
    <w:p w:rsidR="00000000" w:rsidDel="00000000" w:rsidP="00000000" w:rsidRDefault="00000000" w:rsidRPr="00000000" w14:paraId="00000007">
      <w:pPr>
        <w:numPr>
          <w:ilvl w:val="0"/>
          <w:numId w:val="7"/>
        </w:numPr>
        <w:spacing w:after="0" w:afterAutospacing="0" w:before="0" w:beforeAutospacing="0" w:lineRule="auto"/>
        <w:ind w:left="720" w:hanging="360"/>
        <w:jc w:val="both"/>
      </w:pPr>
      <w:r w:rsidDel="00000000" w:rsidR="00000000" w:rsidRPr="00000000">
        <w:rPr>
          <w:b w:val="1"/>
          <w:rtl w:val="0"/>
        </w:rPr>
        <w:t xml:space="preserve">Scope of this doc:</w:t>
      </w:r>
      <w:r w:rsidDel="00000000" w:rsidR="00000000" w:rsidRPr="00000000">
        <w:rPr>
          <w:rtl w:val="0"/>
        </w:rPr>
        <w:t xml:space="preserve"> This document is a dynamic, evolving legal and operational framework designed to grow alongside the organization and remain its definitive point of reference. It articulates the company’s foundational logic, strategic intellect, and governance philosophy—serving as the master blueprint from which every policy, process, and decision draws legitimacy. As the enterprise evolves, this living instrument shall continuously integrate new insights, refined methodologies, and contextual governance improvements to ensure organizational resilience and coherence. Each revision shall represent a new stage of corporate wisdom and maturity, mirroring the company’s pursuit of dignified innovation, transparent conduct, and moral strength. Furthermore, this document functions as a gateway for developing and annexing SOPs, strategic models, and core operational frameworks, including 15‑day rolling campaigns (Tier A/B/C), formation of verified public committees, and the administration of financial operations through escrow‑based management, KYC/AML compliance, and structured auditing. It remains the supreme guiding charter of GentleΩ—legally conscious, ethically grounded, and perpetually adaptive.</w:t>
        <w:br w:type="textWrapping"/>
      </w:r>
    </w:p>
    <w:p w:rsidR="00000000" w:rsidDel="00000000" w:rsidP="00000000" w:rsidRDefault="00000000" w:rsidRPr="00000000" w14:paraId="00000008">
      <w:pPr>
        <w:numPr>
          <w:ilvl w:val="0"/>
          <w:numId w:val="7"/>
        </w:numPr>
        <w:spacing w:after="240" w:before="0" w:beforeAutospacing="0" w:lineRule="auto"/>
        <w:ind w:left="720" w:hanging="360"/>
        <w:jc w:val="both"/>
      </w:pPr>
      <w:r w:rsidDel="00000000" w:rsidR="00000000" w:rsidRPr="00000000">
        <w:rPr>
          <w:rtl w:val="0"/>
        </w:rPr>
      </w:r>
    </w:p>
    <w:p w:rsidR="00000000" w:rsidDel="00000000" w:rsidP="00000000" w:rsidRDefault="00000000" w:rsidRPr="00000000" w14:paraId="0000000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jc w:val="both"/>
        <w:rPr>
          <w:b w:val="1"/>
          <w:sz w:val="34"/>
          <w:szCs w:val="34"/>
        </w:rPr>
      </w:pPr>
      <w:bookmarkStart w:colFirst="0" w:colLast="0" w:name="_s9ln9bcrncg" w:id="2"/>
      <w:bookmarkEnd w:id="2"/>
      <w:r w:rsidDel="00000000" w:rsidR="00000000" w:rsidRPr="00000000">
        <w:rPr>
          <w:b w:val="1"/>
          <w:sz w:val="34"/>
          <w:szCs w:val="34"/>
          <w:rtl w:val="0"/>
        </w:rPr>
        <w:t xml:space="preserve">2) Core Pillars (Everything must map to these)</w:t>
      </w:r>
    </w:p>
    <w:tbl>
      <w:tblPr>
        <w:tblStyle w:val="Table1"/>
        <w:tblW w:w="1050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65"/>
        <w:gridCol w:w="4020"/>
        <w:gridCol w:w="2895"/>
        <w:gridCol w:w="2220"/>
        <w:tblGridChange w:id="0">
          <w:tblGrid>
            <w:gridCol w:w="1365"/>
            <w:gridCol w:w="4020"/>
            <w:gridCol w:w="2895"/>
            <w:gridCol w:w="222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jc w:val="both"/>
              <w:rPr/>
            </w:pPr>
            <w:r w:rsidDel="00000000" w:rsidR="00000000" w:rsidRPr="00000000">
              <w:rPr>
                <w:b w:val="1"/>
                <w:rtl w:val="0"/>
              </w:rPr>
              <w:t xml:space="preserve">Pillar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jc w:val="both"/>
              <w:rPr/>
            </w:pPr>
            <w:r w:rsidDel="00000000" w:rsidR="00000000" w:rsidRPr="00000000">
              <w:rPr>
                <w:b w:val="1"/>
                <w:rtl w:val="0"/>
              </w:rPr>
              <w:t xml:space="preserve">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jc w:val="both"/>
              <w:rPr/>
            </w:pPr>
            <w:r w:rsidDel="00000000" w:rsidR="00000000" w:rsidRPr="00000000">
              <w:rPr>
                <w:b w:val="1"/>
                <w:rtl w:val="0"/>
              </w:rPr>
              <w:t xml:space="preserve">Success Signals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jc w:val="both"/>
              <w:rPr/>
            </w:pPr>
            <w:r w:rsidDel="00000000" w:rsidR="00000000" w:rsidRPr="00000000">
              <w:rPr>
                <w:b w:val="1"/>
                <w:rtl w:val="0"/>
              </w:rPr>
              <w:t xml:space="preserve">Non‑Goals (Out of Scope)</w:t>
            </w:r>
            <w:r w:rsidDel="00000000" w:rsidR="00000000" w:rsidRPr="00000000">
              <w:rPr>
                <w:rtl w:val="0"/>
              </w:rPr>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both"/>
              <w:rPr/>
            </w:pPr>
            <w:r w:rsidDel="00000000" w:rsidR="00000000" w:rsidRPr="00000000">
              <w:rPr>
                <w:b w:val="1"/>
                <w:rtl w:val="0"/>
              </w:rPr>
              <w:t xml:space="preserve">Business Concept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both"/>
              <w:rPr/>
            </w:pPr>
            <w:r w:rsidDel="00000000" w:rsidR="00000000" w:rsidRPr="00000000">
              <w:rPr>
                <w:rtl w:val="0"/>
              </w:rPr>
              <w:t xml:space="preserve">Public–private cooperative using </w:t>
            </w:r>
            <w:r w:rsidDel="00000000" w:rsidR="00000000" w:rsidRPr="00000000">
              <w:rPr>
                <w:b w:val="1"/>
                <w:rtl w:val="0"/>
              </w:rPr>
              <w:t xml:space="preserve">tender‑based onboarding</w:t>
            </w:r>
            <w:r w:rsidDel="00000000" w:rsidR="00000000" w:rsidRPr="00000000">
              <w:rPr>
                <w:rtl w:val="0"/>
              </w:rPr>
              <w:t xml:space="preserve"> and </w:t>
            </w:r>
            <w:r w:rsidDel="00000000" w:rsidR="00000000" w:rsidRPr="00000000">
              <w:rPr>
                <w:b w:val="1"/>
                <w:rtl w:val="0"/>
              </w:rPr>
              <w:t xml:space="preserve">security deposits</w:t>
            </w:r>
            <w:r w:rsidDel="00000000" w:rsidR="00000000" w:rsidRPr="00000000">
              <w:rPr>
                <w:rtl w:val="0"/>
              </w:rPr>
              <w:t xml:space="preserve"> to build initial liquidity for operations and growth.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jc w:val="both"/>
              <w:rPr/>
            </w:pPr>
            <w:r w:rsidDel="00000000" w:rsidR="00000000" w:rsidRPr="00000000">
              <w:rPr>
                <w:rtl w:val="0"/>
              </w:rPr>
              <w:t xml:space="preserve">Sustainable rolling liquidity; fair onboarding; audited transparency.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jc w:val="both"/>
              <w:rPr/>
            </w:pPr>
            <w:r w:rsidDel="00000000" w:rsidR="00000000" w:rsidRPr="00000000">
              <w:rPr>
                <w:rtl w:val="0"/>
              </w:rPr>
              <w:t xml:space="preserve">Speculative token pump, hidden fees, or non‑transparent allocations.</w:t>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jc w:val="both"/>
              <w:rPr/>
            </w:pPr>
            <w:r w:rsidDel="00000000" w:rsidR="00000000" w:rsidRPr="00000000">
              <w:rPr>
                <w:b w:val="1"/>
                <w:rtl w:val="0"/>
              </w:rPr>
              <w:t xml:space="preserve">Strategic Mission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jc w:val="both"/>
              <w:rPr/>
            </w:pPr>
            <w:r w:rsidDel="00000000" w:rsidR="00000000" w:rsidRPr="00000000">
              <w:rPr>
                <w:b w:val="1"/>
                <w:rtl w:val="0"/>
              </w:rPr>
              <w:t xml:space="preserve">Decentralize AI‑driven work</w:t>
            </w:r>
            <w:r w:rsidDel="00000000" w:rsidR="00000000" w:rsidRPr="00000000">
              <w:rPr>
                <w:rtl w:val="0"/>
              </w:rPr>
              <w:t xml:space="preserve">, generate earnings ethically, and </w:t>
            </w:r>
            <w:r w:rsidDel="00000000" w:rsidR="00000000" w:rsidRPr="00000000">
              <w:rPr>
                <w:b w:val="1"/>
                <w:rtl w:val="0"/>
              </w:rPr>
              <w:t xml:space="preserve">distribute roles transparently</w:t>
            </w:r>
            <w:r w:rsidDel="00000000" w:rsidR="00000000" w:rsidRPr="00000000">
              <w:rPr>
                <w:rtl w:val="0"/>
              </w:rPr>
              <w:t xml:space="preserve"> through graded participation and merit.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jc w:val="both"/>
              <w:rPr/>
            </w:pPr>
            <w:r w:rsidDel="00000000" w:rsidR="00000000" w:rsidRPr="00000000">
              <w:rPr>
                <w:rtl w:val="0"/>
              </w:rPr>
              <w:t xml:space="preserve">Jobs created, payouts executed on time, clear role progression, zero opaque decisions.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jc w:val="both"/>
              <w:rPr/>
            </w:pPr>
            <w:r w:rsidDel="00000000" w:rsidR="00000000" w:rsidRPr="00000000">
              <w:rPr>
                <w:rtl w:val="0"/>
              </w:rPr>
              <w:t xml:space="preserve">Exploitative labor, undisclosed conflicts of interest.</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jc w:val="both"/>
              <w:rPr/>
            </w:pPr>
            <w:r w:rsidDel="00000000" w:rsidR="00000000" w:rsidRPr="00000000">
              <w:rPr>
                <w:b w:val="1"/>
                <w:rtl w:val="0"/>
              </w:rPr>
              <w:t xml:space="preserve">Core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jc w:val="both"/>
              <w:rPr/>
            </w:pPr>
            <w:r w:rsidDel="00000000" w:rsidR="00000000" w:rsidRPr="00000000">
              <w:rPr>
                <w:rtl w:val="0"/>
              </w:rPr>
              <w:t xml:space="preserve">Operate </w:t>
            </w:r>
            <w:r w:rsidDel="00000000" w:rsidR="00000000" w:rsidRPr="00000000">
              <w:rPr>
                <w:b w:val="1"/>
                <w:rtl w:val="0"/>
              </w:rPr>
              <w:t xml:space="preserve">15‑day rolling campaigns</w:t>
            </w:r>
            <w:r w:rsidDel="00000000" w:rsidR="00000000" w:rsidRPr="00000000">
              <w:rPr>
                <w:rtl w:val="0"/>
              </w:rPr>
              <w:t xml:space="preserve"> (Tier A/B/C), </w:t>
            </w:r>
            <w:r w:rsidDel="00000000" w:rsidR="00000000" w:rsidRPr="00000000">
              <w:rPr>
                <w:b w:val="1"/>
                <w:rtl w:val="0"/>
              </w:rPr>
              <w:t xml:space="preserve">verify participants (KYC/AML)</w:t>
            </w:r>
            <w:r w:rsidDel="00000000" w:rsidR="00000000" w:rsidRPr="00000000">
              <w:rPr>
                <w:rtl w:val="0"/>
              </w:rPr>
              <w:t xml:space="preserve">, manage </w:t>
            </w:r>
            <w:r w:rsidDel="00000000" w:rsidR="00000000" w:rsidRPr="00000000">
              <w:rPr>
                <w:b w:val="1"/>
                <w:rtl w:val="0"/>
              </w:rPr>
              <w:t xml:space="preserve">escrowed deposits &amp; refunds</w:t>
            </w:r>
            <w:r w:rsidDel="00000000" w:rsidR="00000000" w:rsidRPr="00000000">
              <w:rPr>
                <w:rtl w:val="0"/>
              </w:rPr>
              <w:t xml:space="preserve">, and publish </w:t>
            </w:r>
            <w:r w:rsidDel="00000000" w:rsidR="00000000" w:rsidRPr="00000000">
              <w:rPr>
                <w:b w:val="1"/>
                <w:rtl w:val="0"/>
              </w:rPr>
              <w:t xml:space="preserve">public dashboards</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jc w:val="both"/>
              <w:rPr/>
            </w:pPr>
            <w:r w:rsidDel="00000000" w:rsidR="00000000" w:rsidRPr="00000000">
              <w:rPr>
                <w:rtl w:val="0"/>
              </w:rPr>
              <w:t xml:space="preserve">On‑time campaign cadence, &gt;95% KYC pass on valid docs, refunds within SLA, dashboards up‑to‑date.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jc w:val="both"/>
              <w:rPr/>
            </w:pPr>
            <w:r w:rsidDel="00000000" w:rsidR="00000000" w:rsidRPr="00000000">
              <w:rPr>
                <w:rtl w:val="0"/>
              </w:rPr>
              <w:t xml:space="preserve">Ad‑hoc fundraising without KYC, off‑ledger cash handling.</w:t>
            </w:r>
          </w:p>
        </w:tc>
      </w:tr>
    </w:tbl>
    <w:p w:rsidR="00000000" w:rsidDel="00000000" w:rsidP="00000000" w:rsidRDefault="00000000" w:rsidRPr="00000000" w14:paraId="0000001B">
      <w:pPr>
        <w:spacing w:after="240" w:before="240" w:lineRule="auto"/>
        <w:ind w:left="600" w:right="600" w:firstLine="0"/>
        <w:jc w:val="both"/>
        <w:rPr/>
      </w:pPr>
      <w:r w:rsidDel="00000000" w:rsidR="00000000" w:rsidRPr="00000000">
        <w:rPr>
          <w:b w:val="1"/>
          <w:rtl w:val="0"/>
        </w:rPr>
        <w:t xml:space="preserve">Rule:</w:t>
      </w:r>
      <w:r w:rsidDel="00000000" w:rsidR="00000000" w:rsidRPr="00000000">
        <w:rPr>
          <w:rtl w:val="0"/>
        </w:rPr>
        <w:t xml:space="preserve"> No tender, share issuance, payment, or refund proceeds unless it can be traced to one of the pillars above.</w:t>
      </w:r>
    </w:p>
    <w:p w:rsidR="00000000" w:rsidDel="00000000" w:rsidP="00000000" w:rsidRDefault="00000000" w:rsidRPr="00000000" w14:paraId="0000001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jc w:val="both"/>
        <w:rPr>
          <w:b w:val="1"/>
          <w:sz w:val="34"/>
          <w:szCs w:val="34"/>
        </w:rPr>
      </w:pPr>
      <w:bookmarkStart w:colFirst="0" w:colLast="0" w:name="_c7l2thiefquz" w:id="3"/>
      <w:bookmarkEnd w:id="3"/>
      <w:r w:rsidDel="00000000" w:rsidR="00000000" w:rsidRPr="00000000">
        <w:rPr>
          <w:b w:val="1"/>
          <w:sz w:val="34"/>
          <w:szCs w:val="34"/>
          <w:rtl w:val="0"/>
        </w:rPr>
        <w:t xml:space="preserve">3) Operating Model Snapshot (High‑Level)</w:t>
      </w:r>
    </w:p>
    <w:p w:rsidR="00000000" w:rsidDel="00000000" w:rsidP="00000000" w:rsidRDefault="00000000" w:rsidRPr="00000000" w14:paraId="0000001E">
      <w:pPr>
        <w:spacing w:after="240" w:before="240" w:lineRule="auto"/>
        <w:jc w:val="both"/>
        <w:rPr>
          <w:b w:val="1"/>
        </w:rPr>
      </w:pPr>
      <w:r w:rsidDel="00000000" w:rsidR="00000000" w:rsidRPr="00000000">
        <w:rPr>
          <w:b w:val="1"/>
          <w:rtl w:val="0"/>
        </w:rPr>
        <w:t xml:space="preserve">Cadence:</w:t>
      </w:r>
    </w:p>
    <w:p w:rsidR="00000000" w:rsidDel="00000000" w:rsidP="00000000" w:rsidRDefault="00000000" w:rsidRPr="00000000" w14:paraId="0000001F">
      <w:pPr>
        <w:numPr>
          <w:ilvl w:val="0"/>
          <w:numId w:val="1"/>
        </w:numPr>
        <w:spacing w:after="0" w:afterAutospacing="0" w:before="240" w:lineRule="auto"/>
        <w:ind w:left="720" w:hanging="360"/>
        <w:jc w:val="both"/>
      </w:pPr>
      <w:r w:rsidDel="00000000" w:rsidR="00000000" w:rsidRPr="00000000">
        <w:rPr>
          <w:i w:val="1"/>
          <w:rtl w:val="0"/>
        </w:rPr>
        <w:t xml:space="preserve">Tier A Campaigns:</w:t>
      </w:r>
      <w:r w:rsidDel="00000000" w:rsidR="00000000" w:rsidRPr="00000000">
        <w:rPr>
          <w:rFonts w:ascii="Arial Unicode MS" w:cs="Arial Unicode MS" w:eastAsia="Arial Unicode MS" w:hAnsi="Arial Unicode MS"/>
          <w:rtl w:val="0"/>
        </w:rPr>
        <w:t xml:space="preserve"> 15 days × phases (e.g., $500 → $300 → $150). Announcement of selected members within 7 days; refunds for non‑onboarded within 21 days.</w:t>
        <w:br w:type="textWrapping"/>
      </w:r>
    </w:p>
    <w:p w:rsidR="00000000" w:rsidDel="00000000" w:rsidP="00000000" w:rsidRDefault="00000000" w:rsidRPr="00000000" w14:paraId="00000020">
      <w:pPr>
        <w:numPr>
          <w:ilvl w:val="0"/>
          <w:numId w:val="1"/>
        </w:numPr>
        <w:spacing w:after="240" w:before="0" w:beforeAutospacing="0" w:lineRule="auto"/>
        <w:ind w:left="720" w:hanging="360"/>
        <w:jc w:val="both"/>
      </w:pPr>
      <w:r w:rsidDel="00000000" w:rsidR="00000000" w:rsidRPr="00000000">
        <w:rPr>
          <w:i w:val="1"/>
          <w:rtl w:val="0"/>
        </w:rPr>
        <w:t xml:space="preserve">Tier B/C Campaigns:</w:t>
      </w:r>
      <w:r w:rsidDel="00000000" w:rsidR="00000000" w:rsidRPr="00000000">
        <w:rPr>
          <w:rtl w:val="0"/>
        </w:rPr>
        <w:t xml:space="preserve"> Mirrored cadence with tier‑specific rules (TBD in separate docs).</w:t>
        <w:br w:type="textWrapping"/>
      </w:r>
    </w:p>
    <w:p w:rsidR="00000000" w:rsidDel="00000000" w:rsidP="00000000" w:rsidRDefault="00000000" w:rsidRPr="00000000" w14:paraId="00000021">
      <w:pPr>
        <w:spacing w:after="240" w:before="240" w:lineRule="auto"/>
        <w:jc w:val="both"/>
        <w:rPr>
          <w:b w:val="1"/>
        </w:rPr>
      </w:pPr>
      <w:r w:rsidDel="00000000" w:rsidR="00000000" w:rsidRPr="00000000">
        <w:rPr>
          <w:b w:val="1"/>
          <w:rtl w:val="0"/>
        </w:rPr>
        <w:t xml:space="preserve">Funds Flow (baseline buckets):</w:t>
      </w:r>
    </w:p>
    <w:p w:rsidR="00000000" w:rsidDel="00000000" w:rsidP="00000000" w:rsidRDefault="00000000" w:rsidRPr="00000000" w14:paraId="00000022">
      <w:pPr>
        <w:numPr>
          <w:ilvl w:val="0"/>
          <w:numId w:val="8"/>
        </w:numPr>
        <w:spacing w:after="0" w:afterAutospacing="0" w:before="240" w:lineRule="auto"/>
        <w:ind w:left="720" w:hanging="360"/>
        <w:jc w:val="both"/>
      </w:pPr>
      <w:r w:rsidDel="00000000" w:rsidR="00000000" w:rsidRPr="00000000">
        <w:rPr>
          <w:b w:val="1"/>
          <w:rtl w:val="0"/>
        </w:rPr>
        <w:t xml:space="preserve">Escrow Pool (30%)</w:t>
      </w:r>
      <w:r w:rsidDel="00000000" w:rsidR="00000000" w:rsidRPr="00000000">
        <w:rPr>
          <w:rtl w:val="0"/>
        </w:rPr>
        <w:t xml:space="preserve"> — refundable deposits until onboarding outcome.</w:t>
        <w:br w:type="textWrapping"/>
      </w:r>
    </w:p>
    <w:p w:rsidR="00000000" w:rsidDel="00000000" w:rsidP="00000000" w:rsidRDefault="00000000" w:rsidRPr="00000000" w14:paraId="00000023">
      <w:pPr>
        <w:numPr>
          <w:ilvl w:val="0"/>
          <w:numId w:val="8"/>
        </w:numPr>
        <w:spacing w:after="0" w:afterAutospacing="0" w:before="0" w:beforeAutospacing="0" w:lineRule="auto"/>
        <w:ind w:left="720" w:hanging="360"/>
        <w:jc w:val="both"/>
      </w:pPr>
      <w:r w:rsidDel="00000000" w:rsidR="00000000" w:rsidRPr="00000000">
        <w:rPr>
          <w:b w:val="1"/>
          <w:rtl w:val="0"/>
        </w:rPr>
        <w:t xml:space="preserve">Ops Pool (40%)</w:t>
      </w:r>
      <w:r w:rsidDel="00000000" w:rsidR="00000000" w:rsidRPr="00000000">
        <w:rPr>
          <w:rtl w:val="0"/>
        </w:rPr>
        <w:t xml:space="preserve"> — salaries, task payouts, marketing, infra.</w:t>
        <w:br w:type="textWrapping"/>
      </w:r>
    </w:p>
    <w:p w:rsidR="00000000" w:rsidDel="00000000" w:rsidP="00000000" w:rsidRDefault="00000000" w:rsidRPr="00000000" w14:paraId="00000024">
      <w:pPr>
        <w:numPr>
          <w:ilvl w:val="0"/>
          <w:numId w:val="8"/>
        </w:numPr>
        <w:spacing w:after="240" w:before="0" w:beforeAutospacing="0" w:lineRule="auto"/>
        <w:ind w:left="720" w:hanging="360"/>
        <w:jc w:val="both"/>
      </w:pPr>
      <w:r w:rsidDel="00000000" w:rsidR="00000000" w:rsidRPr="00000000">
        <w:rPr>
          <w:b w:val="1"/>
          <w:rtl w:val="0"/>
        </w:rPr>
        <w:t xml:space="preserve">R&amp;D/Reserve (30%)</w:t>
      </w:r>
      <w:r w:rsidDel="00000000" w:rsidR="00000000" w:rsidRPr="00000000">
        <w:rPr>
          <w:rtl w:val="0"/>
        </w:rPr>
        <w:t xml:space="preserve"> — automation, audits, runway.</w:t>
        <w:br w:type="textWrapping"/>
      </w:r>
    </w:p>
    <w:p w:rsidR="00000000" w:rsidDel="00000000" w:rsidP="00000000" w:rsidRDefault="00000000" w:rsidRPr="00000000" w14:paraId="00000025">
      <w:pPr>
        <w:spacing w:after="240" w:before="240" w:lineRule="auto"/>
        <w:jc w:val="both"/>
        <w:rPr/>
      </w:pPr>
      <w:r w:rsidDel="00000000" w:rsidR="00000000" w:rsidRPr="00000000">
        <w:rPr>
          <w:b w:val="1"/>
          <w:rtl w:val="0"/>
        </w:rPr>
        <w:t xml:space="preserve">Controls:</w:t>
      </w:r>
      <w:r w:rsidDel="00000000" w:rsidR="00000000" w:rsidRPr="00000000">
        <w:rPr>
          <w:rFonts w:ascii="Arial Unicode MS" w:cs="Arial Unicode MS" w:eastAsia="Arial Unicode MS" w:hAnsi="Arial Unicode MS"/>
          <w:rtl w:val="0"/>
        </w:rPr>
        <w:t xml:space="preserve"> No movement from Escrow → Ops/Reserve without policy‑compliant triggers (selection, forfeiture, or member exit rules).</w:t>
      </w:r>
    </w:p>
    <w:p w:rsidR="00000000" w:rsidDel="00000000" w:rsidP="00000000" w:rsidRDefault="00000000" w:rsidRPr="00000000" w14:paraId="0000002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jc w:val="both"/>
        <w:rPr>
          <w:b w:val="1"/>
          <w:sz w:val="34"/>
          <w:szCs w:val="34"/>
        </w:rPr>
      </w:pPr>
      <w:bookmarkStart w:colFirst="0" w:colLast="0" w:name="_qj4oww1hkj62" w:id="4"/>
      <w:bookmarkEnd w:id="4"/>
      <w:r w:rsidDel="00000000" w:rsidR="00000000" w:rsidRPr="00000000">
        <w:rPr>
          <w:b w:val="1"/>
          <w:sz w:val="34"/>
          <w:szCs w:val="34"/>
          <w:rtl w:val="0"/>
        </w:rPr>
        <w:t xml:space="preserve">4) Governance Linkage</w:t>
      </w:r>
    </w:p>
    <w:p w:rsidR="00000000" w:rsidDel="00000000" w:rsidP="00000000" w:rsidRDefault="00000000" w:rsidRPr="00000000" w14:paraId="00000028">
      <w:pPr>
        <w:numPr>
          <w:ilvl w:val="0"/>
          <w:numId w:val="9"/>
        </w:numPr>
        <w:spacing w:after="0" w:afterAutospacing="0" w:before="240" w:lineRule="auto"/>
        <w:ind w:left="720" w:hanging="360"/>
        <w:jc w:val="both"/>
      </w:pPr>
      <w:r w:rsidDel="00000000" w:rsidR="00000000" w:rsidRPr="00000000">
        <w:rPr>
          <w:b w:val="1"/>
          <w:rtl w:val="0"/>
        </w:rPr>
        <w:t xml:space="preserve">Top Level:</w:t>
      </w:r>
      <w:r w:rsidDel="00000000" w:rsidR="00000000" w:rsidRPr="00000000">
        <w:rPr>
          <w:rtl w:val="0"/>
        </w:rPr>
        <w:t xml:space="preserve"> Board / Steering Committee — strategic oversight; approves campaign calendars and financial guardrails.</w:t>
        <w:br w:type="textWrapping"/>
      </w:r>
    </w:p>
    <w:p w:rsidR="00000000" w:rsidDel="00000000" w:rsidP="00000000" w:rsidRDefault="00000000" w:rsidRPr="00000000" w14:paraId="00000029">
      <w:pPr>
        <w:numPr>
          <w:ilvl w:val="0"/>
          <w:numId w:val="9"/>
        </w:numPr>
        <w:spacing w:after="0" w:afterAutospacing="0" w:before="0" w:beforeAutospacing="0" w:lineRule="auto"/>
        <w:ind w:left="720" w:hanging="360"/>
        <w:jc w:val="both"/>
      </w:pPr>
      <w:r w:rsidDel="00000000" w:rsidR="00000000" w:rsidRPr="00000000">
        <w:rPr>
          <w:b w:val="1"/>
          <w:rtl w:val="0"/>
        </w:rPr>
        <w:t xml:space="preserve">Executive Level:</w:t>
      </w:r>
      <w:r w:rsidDel="00000000" w:rsidR="00000000" w:rsidRPr="00000000">
        <w:rPr>
          <w:rtl w:val="0"/>
        </w:rPr>
        <w:t xml:space="preserve"> CEO/CTO/Finance Head — cross‑domain orchestration, budget execution within policy limits.</w:t>
        <w:br w:type="textWrapping"/>
      </w:r>
    </w:p>
    <w:p w:rsidR="00000000" w:rsidDel="00000000" w:rsidP="00000000" w:rsidRDefault="00000000" w:rsidRPr="00000000" w14:paraId="0000002A">
      <w:pPr>
        <w:numPr>
          <w:ilvl w:val="0"/>
          <w:numId w:val="9"/>
        </w:numPr>
        <w:spacing w:after="0" w:afterAutospacing="0" w:before="0" w:beforeAutospacing="0" w:lineRule="auto"/>
        <w:ind w:left="720" w:hanging="360"/>
        <w:jc w:val="both"/>
      </w:pPr>
      <w:r w:rsidDel="00000000" w:rsidR="00000000" w:rsidRPr="00000000">
        <w:rPr>
          <w:b w:val="1"/>
          <w:rtl w:val="0"/>
        </w:rPr>
        <w:t xml:space="preserve">Division Heads:</w:t>
      </w:r>
      <w:r w:rsidDel="00000000" w:rsidR="00000000" w:rsidRPr="00000000">
        <w:rPr>
          <w:rtl w:val="0"/>
        </w:rPr>
        <w:t xml:space="preserve"> SaaS Tools, AI Trading Bot, Digital Society Platform (expandable).</w:t>
        <w:br w:type="textWrapping"/>
      </w:r>
    </w:p>
    <w:p w:rsidR="00000000" w:rsidDel="00000000" w:rsidP="00000000" w:rsidRDefault="00000000" w:rsidRPr="00000000" w14:paraId="0000002B">
      <w:pPr>
        <w:numPr>
          <w:ilvl w:val="0"/>
          <w:numId w:val="9"/>
        </w:numPr>
        <w:spacing w:after="0" w:afterAutospacing="0" w:before="0" w:beforeAutospacing="0" w:lineRule="auto"/>
        <w:ind w:left="720" w:hanging="360"/>
        <w:jc w:val="both"/>
      </w:pPr>
      <w:r w:rsidDel="00000000" w:rsidR="00000000" w:rsidRPr="00000000">
        <w:rPr>
          <w:b w:val="1"/>
          <w:rtl w:val="0"/>
        </w:rPr>
        <w:t xml:space="preserve">Functional Leaders:</w:t>
      </w:r>
      <w:r w:rsidDel="00000000" w:rsidR="00000000" w:rsidRPr="00000000">
        <w:rPr>
          <w:rtl w:val="0"/>
        </w:rPr>
        <w:t xml:space="preserve"> Engineering, Data Science, Ops, Compliance.</w:t>
        <w:br w:type="textWrapping"/>
      </w:r>
    </w:p>
    <w:p w:rsidR="00000000" w:rsidDel="00000000" w:rsidP="00000000" w:rsidRDefault="00000000" w:rsidRPr="00000000" w14:paraId="0000002C">
      <w:pPr>
        <w:numPr>
          <w:ilvl w:val="0"/>
          <w:numId w:val="9"/>
        </w:numPr>
        <w:spacing w:after="240" w:before="0" w:beforeAutospacing="0" w:lineRule="auto"/>
        <w:ind w:left="720" w:hanging="360"/>
        <w:jc w:val="both"/>
      </w:pPr>
      <w:r w:rsidDel="00000000" w:rsidR="00000000" w:rsidRPr="00000000">
        <w:rPr>
          <w:b w:val="1"/>
          <w:rtl w:val="0"/>
        </w:rPr>
        <w:t xml:space="preserve">Teams &amp; ICs:</w:t>
      </w:r>
      <w:r w:rsidDel="00000000" w:rsidR="00000000" w:rsidRPr="00000000">
        <w:rPr>
          <w:rtl w:val="0"/>
        </w:rPr>
        <w:t xml:space="preserve"> Project leads and contributors.</w:t>
        <w:br w:type="textWrapping"/>
      </w:r>
    </w:p>
    <w:p w:rsidR="00000000" w:rsidDel="00000000" w:rsidP="00000000" w:rsidRDefault="00000000" w:rsidRPr="00000000" w14:paraId="0000002D">
      <w:pPr>
        <w:spacing w:after="240" w:before="240" w:lineRule="auto"/>
        <w:ind w:left="600" w:right="600" w:firstLine="0"/>
        <w:jc w:val="both"/>
        <w:rPr/>
      </w:pPr>
      <w:r w:rsidDel="00000000" w:rsidR="00000000" w:rsidRPr="00000000">
        <w:rPr>
          <w:b w:val="1"/>
          <w:rtl w:val="0"/>
        </w:rPr>
        <w:t xml:space="preserve">Escalation Path:</w:t>
      </w:r>
      <w:r w:rsidDel="00000000" w:rsidR="00000000" w:rsidRPr="00000000">
        <w:rPr>
          <w:rFonts w:ascii="Arial Unicode MS" w:cs="Arial Unicode MS" w:eastAsia="Arial Unicode MS" w:hAnsi="Arial Unicode MS"/>
          <w:rtl w:val="0"/>
        </w:rPr>
        <w:t xml:space="preserve"> IC → Team Lead → Functional Lead → Division Head → Executive → Board.</w:t>
      </w:r>
    </w:p>
    <w:p w:rsidR="00000000" w:rsidDel="00000000" w:rsidP="00000000" w:rsidRDefault="00000000" w:rsidRPr="00000000" w14:paraId="0000002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jc w:val="both"/>
        <w:rPr>
          <w:b w:val="1"/>
          <w:sz w:val="34"/>
          <w:szCs w:val="34"/>
        </w:rPr>
      </w:pPr>
      <w:bookmarkStart w:colFirst="0" w:colLast="0" w:name="_u13wfk9p3day" w:id="5"/>
      <w:bookmarkEnd w:id="5"/>
      <w:r w:rsidDel="00000000" w:rsidR="00000000" w:rsidRPr="00000000">
        <w:rPr>
          <w:b w:val="1"/>
          <w:sz w:val="34"/>
          <w:szCs w:val="34"/>
          <w:rtl w:val="0"/>
        </w:rPr>
        <w:t xml:space="preserve">5) Financial Guardrails (Draft)</w:t>
      </w:r>
    </w:p>
    <w:p w:rsidR="00000000" w:rsidDel="00000000" w:rsidP="00000000" w:rsidRDefault="00000000" w:rsidRPr="00000000" w14:paraId="00000030">
      <w:pPr>
        <w:numPr>
          <w:ilvl w:val="0"/>
          <w:numId w:val="10"/>
        </w:numPr>
        <w:spacing w:after="0" w:afterAutospacing="0" w:before="240" w:lineRule="auto"/>
        <w:ind w:left="720" w:hanging="360"/>
        <w:jc w:val="both"/>
      </w:pPr>
      <w:r w:rsidDel="00000000" w:rsidR="00000000" w:rsidRPr="00000000">
        <w:rPr>
          <w:b w:val="1"/>
          <w:rtl w:val="0"/>
        </w:rPr>
        <w:t xml:space="preserve">KYC/AML is mandatory</w:t>
      </w:r>
      <w:r w:rsidDel="00000000" w:rsidR="00000000" w:rsidRPr="00000000">
        <w:rPr>
          <w:rtl w:val="0"/>
        </w:rPr>
        <w:t xml:space="preserve"> for any payment in/out; exceptions not allowed.</w:t>
        <w:br w:type="textWrapping"/>
      </w:r>
    </w:p>
    <w:p w:rsidR="00000000" w:rsidDel="00000000" w:rsidP="00000000" w:rsidRDefault="00000000" w:rsidRPr="00000000" w14:paraId="00000031">
      <w:pPr>
        <w:numPr>
          <w:ilvl w:val="0"/>
          <w:numId w:val="10"/>
        </w:numPr>
        <w:spacing w:after="0" w:afterAutospacing="0" w:before="0" w:beforeAutospacing="0" w:lineRule="auto"/>
        <w:ind w:left="720" w:hanging="360"/>
        <w:jc w:val="both"/>
      </w:pPr>
      <w:r w:rsidDel="00000000" w:rsidR="00000000" w:rsidRPr="00000000">
        <w:rPr>
          <w:b w:val="1"/>
          <w:rtl w:val="0"/>
        </w:rPr>
        <w:t xml:space="preserve">Refund SLA:</w:t>
      </w:r>
      <w:r w:rsidDel="00000000" w:rsidR="00000000" w:rsidRPr="00000000">
        <w:rPr>
          <w:rtl w:val="0"/>
        </w:rPr>
        <w:t xml:space="preserve"> Non‑onboarded deposits refunded within </w:t>
      </w:r>
      <w:r w:rsidDel="00000000" w:rsidR="00000000" w:rsidRPr="00000000">
        <w:rPr>
          <w:b w:val="1"/>
          <w:rtl w:val="0"/>
        </w:rPr>
        <w:t xml:space="preserve">21 days</w:t>
      </w:r>
      <w:r w:rsidDel="00000000" w:rsidR="00000000" w:rsidRPr="00000000">
        <w:rPr>
          <w:rtl w:val="0"/>
        </w:rPr>
        <w:t xml:space="preserve"> of announcement; automated vouchers.</w:t>
        <w:br w:type="textWrapping"/>
      </w:r>
    </w:p>
    <w:p w:rsidR="00000000" w:rsidDel="00000000" w:rsidP="00000000" w:rsidRDefault="00000000" w:rsidRPr="00000000" w14:paraId="00000032">
      <w:pPr>
        <w:numPr>
          <w:ilvl w:val="0"/>
          <w:numId w:val="10"/>
        </w:numPr>
        <w:spacing w:after="0" w:afterAutospacing="0" w:before="0" w:beforeAutospacing="0" w:lineRule="auto"/>
        <w:ind w:left="720" w:hanging="360"/>
        <w:jc w:val="both"/>
      </w:pPr>
      <w:r w:rsidDel="00000000" w:rsidR="00000000" w:rsidRPr="00000000">
        <w:rPr>
          <w:b w:val="1"/>
          <w:rtl w:val="0"/>
        </w:rPr>
        <w:t xml:space="preserve">Thresholds:</w:t>
      </w:r>
      <w:r w:rsidDel="00000000" w:rsidR="00000000" w:rsidRPr="00000000">
        <w:rPr>
          <w:rtl w:val="0"/>
        </w:rPr>
        <w:t xml:space="preserve"> User withdrawals require reaching minimum earnings (TBD per tier) to limit micro‑transaction cost.</w:t>
        <w:br w:type="textWrapping"/>
      </w:r>
    </w:p>
    <w:p w:rsidR="00000000" w:rsidDel="00000000" w:rsidP="00000000" w:rsidRDefault="00000000" w:rsidRPr="00000000" w14:paraId="00000033">
      <w:pPr>
        <w:numPr>
          <w:ilvl w:val="0"/>
          <w:numId w:val="10"/>
        </w:numPr>
        <w:spacing w:after="0" w:afterAutospacing="0" w:before="0" w:beforeAutospacing="0" w:lineRule="auto"/>
        <w:ind w:left="720" w:hanging="360"/>
        <w:jc w:val="both"/>
      </w:pPr>
      <w:r w:rsidDel="00000000" w:rsidR="00000000" w:rsidRPr="00000000">
        <w:rPr>
          <w:b w:val="1"/>
          <w:rtl w:val="0"/>
        </w:rPr>
        <w:t xml:space="preserve">No guarantees:</w:t>
      </w:r>
      <w:r w:rsidDel="00000000" w:rsidR="00000000" w:rsidRPr="00000000">
        <w:rPr>
          <w:rtl w:val="0"/>
        </w:rPr>
        <w:t xml:space="preserve"> Deposits are </w:t>
      </w:r>
      <w:r w:rsidDel="00000000" w:rsidR="00000000" w:rsidRPr="00000000">
        <w:rPr>
          <w:i w:val="1"/>
          <w:rtl w:val="0"/>
        </w:rPr>
        <w:t xml:space="preserve">security/escrow</w:t>
      </w:r>
      <w:r w:rsidDel="00000000" w:rsidR="00000000" w:rsidRPr="00000000">
        <w:rPr>
          <w:rtl w:val="0"/>
        </w:rPr>
        <w:t xml:space="preserve">, not profit promises; investor tiers use separate, compliant agreements.</w:t>
        <w:br w:type="textWrapping"/>
      </w:r>
    </w:p>
    <w:p w:rsidR="00000000" w:rsidDel="00000000" w:rsidP="00000000" w:rsidRDefault="00000000" w:rsidRPr="00000000" w14:paraId="00000034">
      <w:pPr>
        <w:numPr>
          <w:ilvl w:val="0"/>
          <w:numId w:val="10"/>
        </w:numPr>
        <w:spacing w:after="240" w:before="0" w:beforeAutospacing="0" w:lineRule="auto"/>
        <w:ind w:left="720" w:hanging="360"/>
        <w:jc w:val="both"/>
      </w:pPr>
      <w:r w:rsidDel="00000000" w:rsidR="00000000" w:rsidRPr="00000000">
        <w:rPr>
          <w:b w:val="1"/>
          <w:rtl w:val="0"/>
        </w:rPr>
        <w:t xml:space="preserve">Public reporting:</w:t>
      </w:r>
      <w:r w:rsidDel="00000000" w:rsidR="00000000" w:rsidRPr="00000000">
        <w:rPr>
          <w:rtl w:val="0"/>
        </w:rPr>
        <w:t xml:space="preserve"> Weekly dashboard: funds raised, KYC pass rate, payouts, refunds, and active tasks.</w:t>
        <w:br w:type="textWrapping"/>
      </w:r>
    </w:p>
    <w:p w:rsidR="00000000" w:rsidDel="00000000" w:rsidP="00000000" w:rsidRDefault="00000000" w:rsidRPr="00000000" w14:paraId="0000003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jc w:val="both"/>
        <w:rPr>
          <w:b w:val="1"/>
          <w:sz w:val="34"/>
          <w:szCs w:val="34"/>
        </w:rPr>
      </w:pPr>
      <w:bookmarkStart w:colFirst="0" w:colLast="0" w:name="_kr69lhjnvipf" w:id="6"/>
      <w:bookmarkEnd w:id="6"/>
      <w:r w:rsidDel="00000000" w:rsidR="00000000" w:rsidRPr="00000000">
        <w:rPr>
          <w:b w:val="1"/>
          <w:sz w:val="34"/>
          <w:szCs w:val="34"/>
          <w:rtl w:val="0"/>
        </w:rPr>
        <w:t xml:space="preserve">6) Risk &amp; Compliance (Initial)</w:t>
      </w:r>
    </w:p>
    <w:p w:rsidR="00000000" w:rsidDel="00000000" w:rsidP="00000000" w:rsidRDefault="00000000" w:rsidRPr="00000000" w14:paraId="00000037">
      <w:pPr>
        <w:numPr>
          <w:ilvl w:val="0"/>
          <w:numId w:val="6"/>
        </w:numPr>
        <w:spacing w:after="0" w:afterAutospacing="0" w:before="240" w:lineRule="auto"/>
        <w:ind w:left="720" w:hanging="360"/>
        <w:jc w:val="both"/>
      </w:pPr>
      <w:r w:rsidDel="00000000" w:rsidR="00000000" w:rsidRPr="00000000">
        <w:rPr>
          <w:b w:val="1"/>
          <w:rtl w:val="0"/>
        </w:rPr>
        <w:t xml:space="preserve">Regulatory risk:</w:t>
      </w:r>
      <w:r w:rsidDel="00000000" w:rsidR="00000000" w:rsidRPr="00000000">
        <w:rPr>
          <w:rtl w:val="0"/>
        </w:rPr>
        <w:t xml:space="preserve"> Public tenders may trigger securities rules; use distinct flows for </w:t>
      </w:r>
      <w:r w:rsidDel="00000000" w:rsidR="00000000" w:rsidRPr="00000000">
        <w:rPr>
          <w:i w:val="1"/>
          <w:rtl w:val="0"/>
        </w:rPr>
        <w:t xml:space="preserve">deposits vs investments</w:t>
      </w:r>
      <w:r w:rsidDel="00000000" w:rsidR="00000000" w:rsidRPr="00000000">
        <w:rPr>
          <w:rtl w:val="0"/>
        </w:rPr>
        <w:t xml:space="preserve">.</w:t>
        <w:br w:type="textWrapping"/>
      </w:r>
    </w:p>
    <w:p w:rsidR="00000000" w:rsidDel="00000000" w:rsidP="00000000" w:rsidRDefault="00000000" w:rsidRPr="00000000" w14:paraId="00000038">
      <w:pPr>
        <w:numPr>
          <w:ilvl w:val="0"/>
          <w:numId w:val="6"/>
        </w:numPr>
        <w:spacing w:after="0" w:afterAutospacing="0" w:before="0" w:beforeAutospacing="0" w:lineRule="auto"/>
        <w:ind w:left="720" w:hanging="360"/>
        <w:jc w:val="both"/>
      </w:pPr>
      <w:r w:rsidDel="00000000" w:rsidR="00000000" w:rsidRPr="00000000">
        <w:rPr>
          <w:b w:val="1"/>
          <w:rtl w:val="0"/>
        </w:rPr>
        <w:t xml:space="preserve">Operational risk:</w:t>
      </w:r>
      <w:r w:rsidDel="00000000" w:rsidR="00000000" w:rsidRPr="00000000">
        <w:rPr>
          <w:rtl w:val="0"/>
        </w:rPr>
        <w:t xml:space="preserve"> KYC failures, fraud, task quality variance — mitigated by staged access and validator reviews.</w:t>
        <w:br w:type="textWrapping"/>
      </w:r>
    </w:p>
    <w:p w:rsidR="00000000" w:rsidDel="00000000" w:rsidP="00000000" w:rsidRDefault="00000000" w:rsidRPr="00000000" w14:paraId="00000039">
      <w:pPr>
        <w:numPr>
          <w:ilvl w:val="0"/>
          <w:numId w:val="6"/>
        </w:numPr>
        <w:spacing w:after="0" w:afterAutospacing="0" w:before="0" w:beforeAutospacing="0" w:lineRule="auto"/>
        <w:ind w:left="720" w:hanging="360"/>
        <w:jc w:val="both"/>
      </w:pPr>
      <w:r w:rsidDel="00000000" w:rsidR="00000000" w:rsidRPr="00000000">
        <w:rPr>
          <w:b w:val="1"/>
          <w:rtl w:val="0"/>
        </w:rPr>
        <w:t xml:space="preserve">Reputation risk:</w:t>
      </w:r>
      <w:r w:rsidDel="00000000" w:rsidR="00000000" w:rsidRPr="00000000">
        <w:rPr>
          <w:rtl w:val="0"/>
        </w:rPr>
        <w:t xml:space="preserve"> Missed refunds/payouts; mitigated by escrow segregation and SLA tracking.</w:t>
        <w:br w:type="textWrapping"/>
      </w:r>
    </w:p>
    <w:p w:rsidR="00000000" w:rsidDel="00000000" w:rsidP="00000000" w:rsidRDefault="00000000" w:rsidRPr="00000000" w14:paraId="0000003A">
      <w:pPr>
        <w:numPr>
          <w:ilvl w:val="0"/>
          <w:numId w:val="6"/>
        </w:numPr>
        <w:spacing w:after="240" w:before="0" w:beforeAutospacing="0" w:lineRule="auto"/>
        <w:ind w:left="720" w:hanging="360"/>
        <w:jc w:val="both"/>
      </w:pPr>
      <w:r w:rsidDel="00000000" w:rsidR="00000000" w:rsidRPr="00000000">
        <w:rPr>
          <w:b w:val="1"/>
          <w:rtl w:val="0"/>
        </w:rPr>
        <w:t xml:space="preserve">Data protection:</w:t>
      </w:r>
      <w:r w:rsidDel="00000000" w:rsidR="00000000" w:rsidRPr="00000000">
        <w:rPr>
          <w:rtl w:val="0"/>
        </w:rPr>
        <w:t xml:space="preserve"> Store PII off‑chain; publish only hashed references or aggregate stats.</w:t>
        <w:br w:type="textWrapping"/>
      </w:r>
    </w:p>
    <w:p w:rsidR="00000000" w:rsidDel="00000000" w:rsidP="00000000" w:rsidRDefault="00000000" w:rsidRPr="00000000" w14:paraId="0000003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jc w:val="both"/>
        <w:rPr>
          <w:b w:val="1"/>
          <w:sz w:val="34"/>
          <w:szCs w:val="34"/>
        </w:rPr>
      </w:pPr>
      <w:bookmarkStart w:colFirst="0" w:colLast="0" w:name="_48yy3gcwd2nb" w:id="7"/>
      <w:bookmarkEnd w:id="7"/>
      <w:r w:rsidDel="00000000" w:rsidR="00000000" w:rsidRPr="00000000">
        <w:rPr>
          <w:b w:val="1"/>
          <w:sz w:val="34"/>
          <w:szCs w:val="34"/>
          <w:rtl w:val="0"/>
        </w:rPr>
        <w:t xml:space="preserve">7) KPIs &amp; SLAs (Track on Dashboard)</w:t>
      </w:r>
    </w:p>
    <w:p w:rsidR="00000000" w:rsidDel="00000000" w:rsidP="00000000" w:rsidRDefault="00000000" w:rsidRPr="00000000" w14:paraId="0000003D">
      <w:pPr>
        <w:numPr>
          <w:ilvl w:val="0"/>
          <w:numId w:val="5"/>
        </w:numPr>
        <w:spacing w:after="0" w:afterAutospacing="0" w:before="240" w:lineRule="auto"/>
        <w:ind w:left="720" w:hanging="360"/>
        <w:jc w:val="both"/>
      </w:pPr>
      <w:r w:rsidDel="00000000" w:rsidR="00000000" w:rsidRPr="00000000">
        <w:rPr>
          <w:b w:val="1"/>
          <w:rtl w:val="0"/>
        </w:rPr>
        <w:t xml:space="preserve">Liquidity:</w:t>
      </w:r>
      <w:r w:rsidDel="00000000" w:rsidR="00000000" w:rsidRPr="00000000">
        <w:rPr>
          <w:rFonts w:ascii="Arial Unicode MS" w:cs="Arial Unicode MS" w:eastAsia="Arial Unicode MS" w:hAnsi="Arial Unicode MS"/>
          <w:rtl w:val="0"/>
        </w:rPr>
        <w:t xml:space="preserve"> Escrow coverage ratio ≥ 1.0 at all times.</w:t>
        <w:br w:type="textWrapping"/>
      </w:r>
    </w:p>
    <w:p w:rsidR="00000000" w:rsidDel="00000000" w:rsidP="00000000" w:rsidRDefault="00000000" w:rsidRPr="00000000" w14:paraId="0000003E">
      <w:pPr>
        <w:numPr>
          <w:ilvl w:val="0"/>
          <w:numId w:val="5"/>
        </w:numPr>
        <w:spacing w:after="0" w:afterAutospacing="0" w:before="0" w:beforeAutospacing="0" w:lineRule="auto"/>
        <w:ind w:left="720" w:hanging="360"/>
        <w:jc w:val="both"/>
      </w:pPr>
      <w:r w:rsidDel="00000000" w:rsidR="00000000" w:rsidRPr="00000000">
        <w:rPr>
          <w:b w:val="1"/>
          <w:rtl w:val="0"/>
        </w:rPr>
        <w:t xml:space="preserve">Timeliness:</w:t>
      </w:r>
      <w:r w:rsidDel="00000000" w:rsidR="00000000" w:rsidRPr="00000000">
        <w:rPr>
          <w:rFonts w:ascii="Arial Unicode MS" w:cs="Arial Unicode MS" w:eastAsia="Arial Unicode MS" w:hAnsi="Arial Unicode MS"/>
          <w:rtl w:val="0"/>
        </w:rPr>
        <w:t xml:space="preserve"> Refund SLA ≤ 21 days, Payout SLA ≤ 15 days.</w:t>
        <w:br w:type="textWrapping"/>
      </w:r>
    </w:p>
    <w:p w:rsidR="00000000" w:rsidDel="00000000" w:rsidP="00000000" w:rsidRDefault="00000000" w:rsidRPr="00000000" w14:paraId="0000003F">
      <w:pPr>
        <w:numPr>
          <w:ilvl w:val="0"/>
          <w:numId w:val="5"/>
        </w:numPr>
        <w:spacing w:after="0" w:afterAutospacing="0" w:before="0" w:beforeAutospacing="0" w:lineRule="auto"/>
        <w:ind w:left="720" w:hanging="360"/>
        <w:jc w:val="both"/>
      </w:pPr>
      <w:r w:rsidDel="00000000" w:rsidR="00000000" w:rsidRPr="00000000">
        <w:rPr>
          <w:b w:val="1"/>
          <w:rtl w:val="0"/>
        </w:rPr>
        <w:t xml:space="preserve">Verification:</w:t>
      </w:r>
      <w:r w:rsidDel="00000000" w:rsidR="00000000" w:rsidRPr="00000000">
        <w:rPr>
          <w:rFonts w:ascii="Arial Unicode MS" w:cs="Arial Unicode MS" w:eastAsia="Arial Unicode MS" w:hAnsi="Arial Unicode MS"/>
          <w:rtl w:val="0"/>
        </w:rPr>
        <w:t xml:space="preserve"> KYC pass rate ≥ 95% of valid submissions.</w:t>
        <w:br w:type="textWrapping"/>
      </w:r>
    </w:p>
    <w:p w:rsidR="00000000" w:rsidDel="00000000" w:rsidP="00000000" w:rsidRDefault="00000000" w:rsidRPr="00000000" w14:paraId="00000040">
      <w:pPr>
        <w:numPr>
          <w:ilvl w:val="0"/>
          <w:numId w:val="5"/>
        </w:numPr>
        <w:spacing w:after="0" w:afterAutospacing="0" w:before="0" w:beforeAutospacing="0" w:lineRule="auto"/>
        <w:ind w:left="720" w:hanging="360"/>
        <w:jc w:val="both"/>
      </w:pPr>
      <w:r w:rsidDel="00000000" w:rsidR="00000000" w:rsidRPr="00000000">
        <w:rPr>
          <w:b w:val="1"/>
          <w:rtl w:val="0"/>
        </w:rPr>
        <w:t xml:space="preserve">Transparency:</w:t>
      </w:r>
      <w:r w:rsidDel="00000000" w:rsidR="00000000" w:rsidRPr="00000000">
        <w:rPr>
          <w:rtl w:val="0"/>
        </w:rPr>
        <w:t xml:space="preserve"> Weekly dashboard update (100% of weeks in campaign).</w:t>
        <w:br w:type="textWrapping"/>
      </w:r>
    </w:p>
    <w:p w:rsidR="00000000" w:rsidDel="00000000" w:rsidP="00000000" w:rsidRDefault="00000000" w:rsidRPr="00000000" w14:paraId="00000041">
      <w:pPr>
        <w:numPr>
          <w:ilvl w:val="0"/>
          <w:numId w:val="5"/>
        </w:numPr>
        <w:spacing w:after="240" w:before="0" w:beforeAutospacing="0" w:lineRule="auto"/>
        <w:ind w:left="720" w:hanging="360"/>
        <w:jc w:val="both"/>
      </w:pPr>
      <w:r w:rsidDel="00000000" w:rsidR="00000000" w:rsidRPr="00000000">
        <w:rPr>
          <w:b w:val="1"/>
          <w:rtl w:val="0"/>
        </w:rPr>
        <w:t xml:space="preserve">Growth:</w:t>
      </w:r>
      <w:r w:rsidDel="00000000" w:rsidR="00000000" w:rsidRPr="00000000">
        <w:rPr>
          <w:rtl w:val="0"/>
        </w:rPr>
        <w:t xml:space="preserve"> Applicants per campaign, conversion to onboarded roles, task completion rate.</w:t>
        <w:br w:type="textWrapping"/>
      </w:r>
    </w:p>
    <w:p w:rsidR="00000000" w:rsidDel="00000000" w:rsidP="00000000" w:rsidRDefault="00000000" w:rsidRPr="00000000" w14:paraId="0000004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jc w:val="both"/>
        <w:rPr>
          <w:b w:val="1"/>
          <w:sz w:val="34"/>
          <w:szCs w:val="34"/>
        </w:rPr>
      </w:pPr>
      <w:bookmarkStart w:colFirst="0" w:colLast="0" w:name="_sr7pe116ewod" w:id="8"/>
      <w:bookmarkEnd w:id="8"/>
      <w:r w:rsidDel="00000000" w:rsidR="00000000" w:rsidRPr="00000000">
        <w:rPr>
          <w:b w:val="1"/>
          <w:sz w:val="34"/>
          <w:szCs w:val="34"/>
          <w:rtl w:val="0"/>
        </w:rPr>
        <w:t xml:space="preserve">8) Change Log &amp; Versioning</w:t>
      </w:r>
    </w:p>
    <w:p w:rsidR="00000000" w:rsidDel="00000000" w:rsidP="00000000" w:rsidRDefault="00000000" w:rsidRPr="00000000" w14:paraId="00000044">
      <w:pPr>
        <w:numPr>
          <w:ilvl w:val="0"/>
          <w:numId w:val="2"/>
        </w:numPr>
        <w:spacing w:after="0" w:afterAutospacing="0" w:before="240" w:lineRule="auto"/>
        <w:ind w:left="720" w:hanging="360"/>
        <w:jc w:val="both"/>
      </w:pPr>
      <w:r w:rsidDel="00000000" w:rsidR="00000000" w:rsidRPr="00000000">
        <w:rPr>
          <w:b w:val="1"/>
          <w:rtl w:val="0"/>
        </w:rPr>
        <w:t xml:space="preserve">v0.1</w:t>
      </w:r>
      <w:r w:rsidDel="00000000" w:rsidR="00000000" w:rsidRPr="00000000">
        <w:rPr>
          <w:rtl w:val="0"/>
        </w:rPr>
        <w:t xml:space="preserve"> — Initial foundation authored; placeholders marked </w:t>
      </w:r>
      <w:r w:rsidDel="00000000" w:rsidR="00000000" w:rsidRPr="00000000">
        <w:rPr>
          <w:b w:val="1"/>
          <w:rtl w:val="0"/>
        </w:rPr>
        <w:t xml:space="preserve">[TBD]</w:t>
      </w:r>
      <w:r w:rsidDel="00000000" w:rsidR="00000000" w:rsidRPr="00000000">
        <w:rPr>
          <w:rtl w:val="0"/>
        </w:rPr>
        <w:t xml:space="preserve">.</w:t>
        <w:br w:type="textWrapping"/>
      </w:r>
    </w:p>
    <w:p w:rsidR="00000000" w:rsidDel="00000000" w:rsidP="00000000" w:rsidRDefault="00000000" w:rsidRPr="00000000" w14:paraId="00000045">
      <w:pPr>
        <w:numPr>
          <w:ilvl w:val="0"/>
          <w:numId w:val="2"/>
        </w:numPr>
        <w:spacing w:after="0" w:afterAutospacing="0" w:before="0" w:beforeAutospacing="0" w:lineRule="auto"/>
        <w:ind w:left="720" w:hanging="360"/>
        <w:jc w:val="both"/>
      </w:pPr>
      <w:r w:rsidDel="00000000" w:rsidR="00000000" w:rsidRPr="00000000">
        <w:rPr>
          <w:b w:val="1"/>
          <w:rtl w:val="0"/>
        </w:rPr>
        <w:t xml:space="preserve">Proposed next updates:</w:t>
        <w:br w:type="textWrapping"/>
      </w:r>
    </w:p>
    <w:p w:rsidR="00000000" w:rsidDel="00000000" w:rsidP="00000000" w:rsidRDefault="00000000" w:rsidRPr="00000000" w14:paraId="00000046">
      <w:pPr>
        <w:numPr>
          <w:ilvl w:val="1"/>
          <w:numId w:val="2"/>
        </w:numPr>
        <w:spacing w:after="0" w:afterAutospacing="0" w:before="0" w:beforeAutospacing="0" w:lineRule="auto"/>
        <w:ind w:left="1440" w:hanging="360"/>
        <w:jc w:val="both"/>
      </w:pPr>
      <w:r w:rsidDel="00000000" w:rsidR="00000000" w:rsidRPr="00000000">
        <w:rPr>
          <w:rtl w:val="0"/>
        </w:rPr>
        <w:t xml:space="preserve">Define Tier A/B/C detailed financials </w:t>
      </w:r>
      <w:r w:rsidDel="00000000" w:rsidR="00000000" w:rsidRPr="00000000">
        <w:rPr>
          <w:b w:val="1"/>
          <w:rtl w:val="0"/>
        </w:rPr>
        <w:t xml:space="preserve">[TBD‑FIN‑01]</w:t>
        <w:br w:type="textWrapping"/>
      </w:r>
    </w:p>
    <w:p w:rsidR="00000000" w:rsidDel="00000000" w:rsidP="00000000" w:rsidRDefault="00000000" w:rsidRPr="00000000" w14:paraId="00000047">
      <w:pPr>
        <w:numPr>
          <w:ilvl w:val="1"/>
          <w:numId w:val="2"/>
        </w:numPr>
        <w:spacing w:after="0" w:afterAutospacing="0" w:before="0" w:beforeAutospacing="0" w:lineRule="auto"/>
        <w:ind w:left="1440" w:hanging="360"/>
        <w:jc w:val="both"/>
      </w:pPr>
      <w:r w:rsidDel="00000000" w:rsidR="00000000" w:rsidRPr="00000000">
        <w:rPr>
          <w:rtl w:val="0"/>
        </w:rPr>
        <w:t xml:space="preserve">Write Refund/Forfeiture decision tree </w:t>
      </w:r>
      <w:r w:rsidDel="00000000" w:rsidR="00000000" w:rsidRPr="00000000">
        <w:rPr>
          <w:b w:val="1"/>
          <w:rtl w:val="0"/>
        </w:rPr>
        <w:t xml:space="preserve">[TBD‑FIN‑02]</w:t>
        <w:br w:type="textWrapping"/>
      </w:r>
    </w:p>
    <w:p w:rsidR="00000000" w:rsidDel="00000000" w:rsidP="00000000" w:rsidRDefault="00000000" w:rsidRPr="00000000" w14:paraId="00000048">
      <w:pPr>
        <w:numPr>
          <w:ilvl w:val="1"/>
          <w:numId w:val="2"/>
        </w:numPr>
        <w:spacing w:after="0" w:afterAutospacing="0" w:before="0" w:beforeAutospacing="0" w:lineRule="auto"/>
        <w:ind w:left="1440" w:hanging="360"/>
        <w:jc w:val="both"/>
      </w:pPr>
      <w:r w:rsidDel="00000000" w:rsidR="00000000" w:rsidRPr="00000000">
        <w:rPr>
          <w:rtl w:val="0"/>
        </w:rPr>
        <w:t xml:space="preserve">Publish KYC/AML checklist &amp; providers </w:t>
      </w:r>
      <w:r w:rsidDel="00000000" w:rsidR="00000000" w:rsidRPr="00000000">
        <w:rPr>
          <w:b w:val="1"/>
          <w:rtl w:val="0"/>
        </w:rPr>
        <w:t xml:space="preserve">[TBD‑CMP‑01]</w:t>
        <w:br w:type="textWrapping"/>
      </w:r>
    </w:p>
    <w:p w:rsidR="00000000" w:rsidDel="00000000" w:rsidP="00000000" w:rsidRDefault="00000000" w:rsidRPr="00000000" w14:paraId="00000049">
      <w:pPr>
        <w:numPr>
          <w:ilvl w:val="1"/>
          <w:numId w:val="2"/>
        </w:numPr>
        <w:spacing w:after="240" w:before="0" w:beforeAutospacing="0" w:lineRule="auto"/>
        <w:ind w:left="1440" w:hanging="360"/>
        <w:jc w:val="both"/>
      </w:pPr>
      <w:r w:rsidDel="00000000" w:rsidR="00000000" w:rsidRPr="00000000">
        <w:rPr>
          <w:rtl w:val="0"/>
        </w:rPr>
        <w:t xml:space="preserve">Link Governance Charter (roles, voting, conflicts) </w:t>
      </w:r>
      <w:r w:rsidDel="00000000" w:rsidR="00000000" w:rsidRPr="00000000">
        <w:rPr>
          <w:b w:val="1"/>
          <w:rtl w:val="0"/>
        </w:rPr>
        <w:t xml:space="preserve">[TBD‑GOV‑01]</w:t>
        <w:br w:type="textWrapping"/>
      </w:r>
    </w:p>
    <w:p w:rsidR="00000000" w:rsidDel="00000000" w:rsidP="00000000" w:rsidRDefault="00000000" w:rsidRPr="00000000" w14:paraId="0000004A">
      <w:pPr>
        <w:spacing w:after="240" w:before="240" w:lineRule="auto"/>
        <w:ind w:left="600" w:right="600" w:firstLine="0"/>
        <w:jc w:val="both"/>
        <w:rPr/>
      </w:pPr>
      <w:r w:rsidDel="00000000" w:rsidR="00000000" w:rsidRPr="00000000">
        <w:rPr>
          <w:b w:val="1"/>
          <w:rtl w:val="0"/>
        </w:rPr>
        <w:t xml:space="preserve">Editing Policy:</w:t>
      </w:r>
      <w:r w:rsidDel="00000000" w:rsidR="00000000" w:rsidRPr="00000000">
        <w:rPr>
          <w:rtl w:val="0"/>
        </w:rPr>
        <w:t xml:space="preserve"> Owner‑controlled updates; all edits must include a short rationale in the Change Log.</w:t>
      </w:r>
    </w:p>
    <w:p w:rsidR="00000000" w:rsidDel="00000000" w:rsidP="00000000" w:rsidRDefault="00000000" w:rsidRPr="00000000" w14:paraId="0000004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jc w:val="both"/>
        <w:rPr>
          <w:b w:val="1"/>
          <w:sz w:val="34"/>
          <w:szCs w:val="34"/>
        </w:rPr>
      </w:pPr>
      <w:bookmarkStart w:colFirst="0" w:colLast="0" w:name="_mgwbsyza5vvx" w:id="9"/>
      <w:bookmarkEnd w:id="9"/>
      <w:r w:rsidDel="00000000" w:rsidR="00000000" w:rsidRPr="00000000">
        <w:rPr>
          <w:b w:val="1"/>
          <w:sz w:val="34"/>
          <w:szCs w:val="34"/>
          <w:rtl w:val="0"/>
        </w:rPr>
        <w:t xml:space="preserve">9) References &amp; Linked Docs (to attach as created)</w:t>
      </w:r>
    </w:p>
    <w:p w:rsidR="00000000" w:rsidDel="00000000" w:rsidP="00000000" w:rsidRDefault="00000000" w:rsidRPr="00000000" w14:paraId="0000004D">
      <w:pPr>
        <w:numPr>
          <w:ilvl w:val="0"/>
          <w:numId w:val="3"/>
        </w:numPr>
        <w:spacing w:after="0" w:afterAutospacing="0" w:before="240" w:lineRule="auto"/>
        <w:ind w:left="720" w:hanging="360"/>
        <w:jc w:val="both"/>
      </w:pPr>
      <w:r w:rsidDel="00000000" w:rsidR="00000000" w:rsidRPr="00000000">
        <w:rPr>
          <w:rtl w:val="0"/>
        </w:rPr>
        <w:t xml:space="preserve">Governance Charter </w:t>
      </w:r>
      <w:r w:rsidDel="00000000" w:rsidR="00000000" w:rsidRPr="00000000">
        <w:rPr>
          <w:b w:val="1"/>
          <w:rtl w:val="0"/>
        </w:rPr>
        <w:t xml:space="preserve">[link‑TBD]</w:t>
        <w:br w:type="textWrapping"/>
      </w:r>
    </w:p>
    <w:p w:rsidR="00000000" w:rsidDel="00000000" w:rsidP="00000000" w:rsidRDefault="00000000" w:rsidRPr="00000000" w14:paraId="0000004E">
      <w:pPr>
        <w:numPr>
          <w:ilvl w:val="0"/>
          <w:numId w:val="3"/>
        </w:numPr>
        <w:spacing w:after="0" w:afterAutospacing="0" w:before="0" w:beforeAutospacing="0" w:lineRule="auto"/>
        <w:ind w:left="720" w:hanging="360"/>
        <w:jc w:val="both"/>
      </w:pPr>
      <w:r w:rsidDel="00000000" w:rsidR="00000000" w:rsidRPr="00000000">
        <w:rPr>
          <w:rtl w:val="0"/>
        </w:rPr>
        <w:t xml:space="preserve">Tender Playbook (Tier A/B/C) </w:t>
      </w:r>
      <w:r w:rsidDel="00000000" w:rsidR="00000000" w:rsidRPr="00000000">
        <w:rPr>
          <w:b w:val="1"/>
          <w:rtl w:val="0"/>
        </w:rPr>
        <w:t xml:space="preserve">[link‑TBD]</w:t>
        <w:br w:type="textWrapping"/>
      </w:r>
    </w:p>
    <w:p w:rsidR="00000000" w:rsidDel="00000000" w:rsidP="00000000" w:rsidRDefault="00000000" w:rsidRPr="00000000" w14:paraId="0000004F">
      <w:pPr>
        <w:numPr>
          <w:ilvl w:val="0"/>
          <w:numId w:val="3"/>
        </w:numPr>
        <w:spacing w:after="0" w:afterAutospacing="0" w:before="0" w:beforeAutospacing="0" w:lineRule="auto"/>
        <w:ind w:left="720" w:hanging="360"/>
        <w:jc w:val="both"/>
      </w:pPr>
      <w:r w:rsidDel="00000000" w:rsidR="00000000" w:rsidRPr="00000000">
        <w:rPr>
          <w:rtl w:val="0"/>
        </w:rPr>
        <w:t xml:space="preserve">Finance Policy (Escrow/Ops/Reserve) </w:t>
      </w:r>
      <w:r w:rsidDel="00000000" w:rsidR="00000000" w:rsidRPr="00000000">
        <w:rPr>
          <w:b w:val="1"/>
          <w:rtl w:val="0"/>
        </w:rPr>
        <w:t xml:space="preserve">[link‑TBD]</w:t>
        <w:br w:type="textWrapping"/>
      </w:r>
    </w:p>
    <w:p w:rsidR="00000000" w:rsidDel="00000000" w:rsidP="00000000" w:rsidRDefault="00000000" w:rsidRPr="00000000" w14:paraId="00000050">
      <w:pPr>
        <w:numPr>
          <w:ilvl w:val="0"/>
          <w:numId w:val="3"/>
        </w:numPr>
        <w:spacing w:after="0" w:afterAutospacing="0" w:before="0" w:beforeAutospacing="0" w:lineRule="auto"/>
        <w:ind w:left="720" w:hanging="360"/>
        <w:jc w:val="both"/>
      </w:pPr>
      <w:r w:rsidDel="00000000" w:rsidR="00000000" w:rsidRPr="00000000">
        <w:rPr>
          <w:rtl w:val="0"/>
        </w:rPr>
        <w:t xml:space="preserve">KYC/AML Policy &amp; Vendor SOP </w:t>
      </w:r>
      <w:r w:rsidDel="00000000" w:rsidR="00000000" w:rsidRPr="00000000">
        <w:rPr>
          <w:b w:val="1"/>
          <w:rtl w:val="0"/>
        </w:rPr>
        <w:t xml:space="preserve">[link‑TBD]</w:t>
        <w:br w:type="textWrapping"/>
      </w:r>
    </w:p>
    <w:p w:rsidR="00000000" w:rsidDel="00000000" w:rsidP="00000000" w:rsidRDefault="00000000" w:rsidRPr="00000000" w14:paraId="00000051">
      <w:pPr>
        <w:numPr>
          <w:ilvl w:val="0"/>
          <w:numId w:val="3"/>
        </w:numPr>
        <w:spacing w:after="240" w:before="0" w:beforeAutospacing="0" w:lineRule="auto"/>
        <w:ind w:left="720" w:hanging="360"/>
        <w:jc w:val="both"/>
      </w:pPr>
      <w:r w:rsidDel="00000000" w:rsidR="00000000" w:rsidRPr="00000000">
        <w:rPr>
          <w:rtl w:val="0"/>
        </w:rPr>
        <w:t xml:space="preserve">Public Dashboard (read‑only) </w:t>
      </w:r>
      <w:r w:rsidDel="00000000" w:rsidR="00000000" w:rsidRPr="00000000">
        <w:rPr>
          <w:b w:val="1"/>
          <w:rtl w:val="0"/>
        </w:rPr>
        <w:t xml:space="preserve">[link‑TBD]</w:t>
        <w:br w:type="textWrapping"/>
      </w:r>
    </w:p>
    <w:p w:rsidR="00000000" w:rsidDel="00000000" w:rsidP="00000000" w:rsidRDefault="00000000" w:rsidRPr="00000000" w14:paraId="0000005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jc w:val="both"/>
        <w:rPr>
          <w:b w:val="1"/>
          <w:color w:val="000000"/>
          <w:sz w:val="26"/>
          <w:szCs w:val="26"/>
        </w:rPr>
      </w:pPr>
      <w:bookmarkStart w:colFirst="0" w:colLast="0" w:name="_9nuft247du5i" w:id="10"/>
      <w:bookmarkEnd w:id="10"/>
      <w:r w:rsidDel="00000000" w:rsidR="00000000" w:rsidRPr="00000000">
        <w:rPr>
          <w:b w:val="1"/>
          <w:color w:val="000000"/>
          <w:sz w:val="26"/>
          <w:szCs w:val="26"/>
          <w:rtl w:val="0"/>
        </w:rPr>
        <w:t xml:space="preserve">Notes</w:t>
      </w:r>
    </w:p>
    <w:p w:rsidR="00000000" w:rsidDel="00000000" w:rsidP="00000000" w:rsidRDefault="00000000" w:rsidRPr="00000000" w14:paraId="00000054">
      <w:pPr>
        <w:numPr>
          <w:ilvl w:val="0"/>
          <w:numId w:val="4"/>
        </w:numPr>
        <w:spacing w:after="0" w:afterAutospacing="0" w:before="240" w:lineRule="auto"/>
        <w:ind w:left="720" w:hanging="360"/>
        <w:jc w:val="both"/>
      </w:pPr>
      <w:r w:rsidDel="00000000" w:rsidR="00000000" w:rsidRPr="00000000">
        <w:rPr>
          <w:rtl w:val="0"/>
        </w:rPr>
        <w:t xml:space="preserve">Replace </w:t>
      </w:r>
      <w:r w:rsidDel="00000000" w:rsidR="00000000" w:rsidRPr="00000000">
        <w:rPr>
          <w:b w:val="1"/>
          <w:rtl w:val="0"/>
        </w:rPr>
        <w:t xml:space="preserve">[TBD]</w:t>
      </w:r>
      <w:r w:rsidDel="00000000" w:rsidR="00000000" w:rsidRPr="00000000">
        <w:rPr>
          <w:rtl w:val="0"/>
        </w:rPr>
        <w:t xml:space="preserve"> blocks as policies are finalized.</w:t>
        <w:br w:type="textWrapping"/>
      </w:r>
    </w:p>
    <w:p w:rsidR="00000000" w:rsidDel="00000000" w:rsidP="00000000" w:rsidRDefault="00000000" w:rsidRPr="00000000" w14:paraId="00000055">
      <w:pPr>
        <w:numPr>
          <w:ilvl w:val="0"/>
          <w:numId w:val="4"/>
        </w:numPr>
        <w:spacing w:after="240" w:before="0" w:beforeAutospacing="0" w:lineRule="auto"/>
        <w:ind w:left="720" w:hanging="360"/>
        <w:jc w:val="both"/>
      </w:pPr>
      <w:r w:rsidDel="00000000" w:rsidR="00000000" w:rsidRPr="00000000">
        <w:rPr>
          <w:rtl w:val="0"/>
        </w:rPr>
        <w:t xml:space="preserve">This foundation governs </w:t>
      </w:r>
      <w:r w:rsidDel="00000000" w:rsidR="00000000" w:rsidRPr="00000000">
        <w:rPr>
          <w:i w:val="1"/>
          <w:rtl w:val="0"/>
        </w:rPr>
        <w:t xml:space="preserve">all</w:t>
      </w:r>
      <w:r w:rsidDel="00000000" w:rsidR="00000000" w:rsidRPr="00000000">
        <w:rPr>
          <w:rtl w:val="0"/>
        </w:rPr>
        <w:t xml:space="preserve"> downstream SOPs and contracts.</w:t>
        <w:br w:type="textWrapping"/>
      </w:r>
    </w:p>
    <w:p w:rsidR="00000000" w:rsidDel="00000000" w:rsidP="00000000" w:rsidRDefault="00000000" w:rsidRPr="00000000" w14:paraId="00000056">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