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685"/>
        <w:gridCol w:w="1843"/>
        <w:gridCol w:w="1843"/>
      </w:tblGrid>
      <w:tr w:rsidR="00F4685D" w:rsidRPr="00FE3A64" w14:paraId="23CC9AF0" w14:textId="77777777" w:rsidTr="00E157D0">
        <w:tc>
          <w:tcPr>
            <w:tcW w:w="7083" w:type="dxa"/>
            <w:gridSpan w:val="3"/>
          </w:tcPr>
          <w:p w14:paraId="70477425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03F9F3D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4685D" w:rsidRPr="00FE3A64" w14:paraId="4A3C6E5B" w14:textId="77777777" w:rsidTr="00E157D0">
        <w:tc>
          <w:tcPr>
            <w:tcW w:w="1555" w:type="dxa"/>
          </w:tcPr>
          <w:p w14:paraId="7B60B05E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1</w:t>
            </w:r>
          </w:p>
        </w:tc>
        <w:tc>
          <w:tcPr>
            <w:tcW w:w="3685" w:type="dxa"/>
          </w:tcPr>
          <w:p w14:paraId="475B03CE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Formalization and Proof Correctness (12)</w:t>
            </w:r>
          </w:p>
        </w:tc>
        <w:tc>
          <w:tcPr>
            <w:tcW w:w="1843" w:type="dxa"/>
          </w:tcPr>
          <w:p w14:paraId="09ADC0D8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(3_</w:t>
            </w:r>
          </w:p>
        </w:tc>
        <w:tc>
          <w:tcPr>
            <w:tcW w:w="1843" w:type="dxa"/>
          </w:tcPr>
          <w:p w14:paraId="69CBCB20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(60)</w:t>
            </w:r>
          </w:p>
        </w:tc>
      </w:tr>
      <w:tr w:rsidR="00F4685D" w:rsidRPr="00FE3A64" w14:paraId="45A8DAD3" w14:textId="77777777" w:rsidTr="00E157D0">
        <w:tc>
          <w:tcPr>
            <w:tcW w:w="1555" w:type="dxa"/>
          </w:tcPr>
          <w:p w14:paraId="0B6269D6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1</w:t>
            </w:r>
          </w:p>
        </w:tc>
        <w:tc>
          <w:tcPr>
            <w:tcW w:w="3685" w:type="dxa"/>
          </w:tcPr>
          <w:p w14:paraId="5982E2E0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0D4684B1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55D418E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4685D" w:rsidRPr="00FE3A64" w14:paraId="10E7599C" w14:textId="77777777" w:rsidTr="00E157D0">
        <w:tc>
          <w:tcPr>
            <w:tcW w:w="1555" w:type="dxa"/>
          </w:tcPr>
          <w:p w14:paraId="79DF9C40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2</w:t>
            </w:r>
          </w:p>
        </w:tc>
        <w:tc>
          <w:tcPr>
            <w:tcW w:w="3685" w:type="dxa"/>
          </w:tcPr>
          <w:p w14:paraId="127A4E05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790FD893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FF47988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F4685D" w:rsidRPr="00FE3A64" w14:paraId="37C4FF0E" w14:textId="77777777" w:rsidTr="00E157D0">
        <w:tc>
          <w:tcPr>
            <w:tcW w:w="1555" w:type="dxa"/>
          </w:tcPr>
          <w:p w14:paraId="16656B40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3</w:t>
            </w:r>
          </w:p>
        </w:tc>
        <w:tc>
          <w:tcPr>
            <w:tcW w:w="3685" w:type="dxa"/>
          </w:tcPr>
          <w:p w14:paraId="4BD024DB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0B22BEA7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EF8BF05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</w:tr>
      <w:tr w:rsidR="00F4685D" w:rsidRPr="00FE3A64" w14:paraId="173D998B" w14:textId="77777777" w:rsidTr="00E157D0">
        <w:tc>
          <w:tcPr>
            <w:tcW w:w="1555" w:type="dxa"/>
          </w:tcPr>
          <w:p w14:paraId="1B798691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4</w:t>
            </w:r>
          </w:p>
        </w:tc>
        <w:tc>
          <w:tcPr>
            <w:tcW w:w="3685" w:type="dxa"/>
          </w:tcPr>
          <w:p w14:paraId="202C3149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5A6B715E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66E917A9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F4685D" w:rsidRPr="00FE3A64" w14:paraId="3A6D8417" w14:textId="77777777" w:rsidTr="00E157D0">
        <w:tc>
          <w:tcPr>
            <w:tcW w:w="1555" w:type="dxa"/>
          </w:tcPr>
          <w:p w14:paraId="31383998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2</w:t>
            </w:r>
          </w:p>
        </w:tc>
        <w:tc>
          <w:tcPr>
            <w:tcW w:w="3685" w:type="dxa"/>
          </w:tcPr>
          <w:p w14:paraId="55065CBA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Proof Correctness (8)</w:t>
            </w:r>
          </w:p>
        </w:tc>
        <w:tc>
          <w:tcPr>
            <w:tcW w:w="1843" w:type="dxa"/>
          </w:tcPr>
          <w:p w14:paraId="7020239C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(2)</w:t>
            </w:r>
          </w:p>
        </w:tc>
        <w:tc>
          <w:tcPr>
            <w:tcW w:w="1843" w:type="dxa"/>
          </w:tcPr>
          <w:p w14:paraId="1C0301EC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(40)</w:t>
            </w:r>
          </w:p>
        </w:tc>
      </w:tr>
      <w:tr w:rsidR="00F4685D" w:rsidRPr="00FE3A64" w14:paraId="04F2F5AE" w14:textId="77777777" w:rsidTr="00E157D0">
        <w:tc>
          <w:tcPr>
            <w:tcW w:w="1555" w:type="dxa"/>
          </w:tcPr>
          <w:p w14:paraId="16713987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1</w:t>
            </w:r>
          </w:p>
        </w:tc>
        <w:tc>
          <w:tcPr>
            <w:tcW w:w="3685" w:type="dxa"/>
          </w:tcPr>
          <w:p w14:paraId="10B8BB59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19F80DDE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C38AA87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4685D" w:rsidRPr="00FE3A64" w14:paraId="73C446C7" w14:textId="77777777" w:rsidTr="00E157D0">
        <w:tc>
          <w:tcPr>
            <w:tcW w:w="1555" w:type="dxa"/>
          </w:tcPr>
          <w:p w14:paraId="77C7D89E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2</w:t>
            </w:r>
          </w:p>
        </w:tc>
        <w:tc>
          <w:tcPr>
            <w:tcW w:w="3685" w:type="dxa"/>
          </w:tcPr>
          <w:p w14:paraId="48CE1F62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2696C15A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00846FDE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4685D" w:rsidRPr="00FE3A64" w14:paraId="75BE1847" w14:textId="77777777" w:rsidTr="00E157D0">
        <w:tc>
          <w:tcPr>
            <w:tcW w:w="1555" w:type="dxa"/>
          </w:tcPr>
          <w:p w14:paraId="4BDC23CC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3</w:t>
            </w:r>
          </w:p>
        </w:tc>
        <w:tc>
          <w:tcPr>
            <w:tcW w:w="3685" w:type="dxa"/>
          </w:tcPr>
          <w:p w14:paraId="575636E1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2184338D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7BA6B95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4685D" w:rsidRPr="00FE3A64" w14:paraId="7001DDAC" w14:textId="77777777" w:rsidTr="00E157D0">
        <w:tc>
          <w:tcPr>
            <w:tcW w:w="1555" w:type="dxa"/>
          </w:tcPr>
          <w:p w14:paraId="18B6643D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4</w:t>
            </w:r>
          </w:p>
        </w:tc>
        <w:tc>
          <w:tcPr>
            <w:tcW w:w="3685" w:type="dxa"/>
          </w:tcPr>
          <w:p w14:paraId="28304929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5F736AEE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69DA1FC6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F4685D" w:rsidRPr="00FE3A64" w14:paraId="399D57E4" w14:textId="77777777" w:rsidTr="00E157D0">
        <w:tc>
          <w:tcPr>
            <w:tcW w:w="7083" w:type="dxa"/>
            <w:gridSpan w:val="3"/>
          </w:tcPr>
          <w:p w14:paraId="12A1FB29" w14:textId="77777777" w:rsidR="00F4685D" w:rsidRPr="00FE3A64" w:rsidRDefault="00F4685D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Grand Total</w:t>
            </w:r>
          </w:p>
        </w:tc>
        <w:tc>
          <w:tcPr>
            <w:tcW w:w="1843" w:type="dxa"/>
          </w:tcPr>
          <w:p w14:paraId="6B2D081E" w14:textId="77777777" w:rsidR="00F4685D" w:rsidRPr="00FE3A64" w:rsidRDefault="00F4685D" w:rsidP="00E157D0">
            <w:pPr>
              <w:tabs>
                <w:tab w:val="center" w:pos="813"/>
              </w:tabs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66</w:t>
            </w:r>
            <w:r w:rsidRPr="00FE3A64">
              <w:rPr>
                <w:rFonts w:ascii="Calibri" w:hAnsi="Calibri" w:cs="Calibri"/>
                <w:sz w:val="24"/>
                <w:szCs w:val="24"/>
              </w:rPr>
              <w:tab/>
            </w:r>
          </w:p>
        </w:tc>
      </w:tr>
      <w:tr w:rsidR="00F4685D" w:rsidRPr="00FE3A64" w14:paraId="03B6F5F3" w14:textId="77777777" w:rsidTr="00E157D0">
        <w:tc>
          <w:tcPr>
            <w:tcW w:w="8926" w:type="dxa"/>
            <w:gridSpan w:val="4"/>
          </w:tcPr>
          <w:p w14:paraId="64419C5E" w14:textId="77777777" w:rsidR="00F4685D" w:rsidRPr="00FE3A64" w:rsidRDefault="00F4685D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E3A64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</w:p>
          <w:p w14:paraId="4418BA7C" w14:textId="77777777" w:rsidR="00F4685D" w:rsidRPr="00FE3A64" w:rsidRDefault="00F4685D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 xml:space="preserve">Overall a good attempt, however, in Scenario 1, while the use of </w:t>
            </w:r>
            <w:proofErr w:type="spellStart"/>
            <w:proofErr w:type="gramStart"/>
            <w:r w:rsidRPr="00FE3A64">
              <w:rPr>
                <w:rFonts w:ascii="Calibri" w:hAnsi="Calibri" w:cs="Calibri"/>
                <w:sz w:val="24"/>
                <w:szCs w:val="24"/>
              </w:rPr>
              <w:t>Or.elim</w:t>
            </w:r>
            <w:proofErr w:type="spellEnd"/>
            <w:proofErr w:type="gramEnd"/>
            <w:r w:rsidRPr="00FE3A64">
              <w:rPr>
                <w:rFonts w:ascii="Calibri" w:hAnsi="Calibri" w:cs="Calibri"/>
                <w:sz w:val="24"/>
                <w:szCs w:val="24"/>
              </w:rPr>
              <w:t xml:space="preserve"> is valid, the proof concludes eligibility after only one of the two conditions is met, bypassing the requirement that both a prerequisite and an approval are needed; this results in an incomplete formalisation. Scenario 2 displays sound reasoning and structure, but uses </w:t>
            </w:r>
            <w:proofErr w:type="spellStart"/>
            <w:r w:rsidRPr="00FE3A64">
              <w:rPr>
                <w:rFonts w:ascii="Calibri" w:hAnsi="Calibri" w:cs="Calibri"/>
                <w:sz w:val="24"/>
                <w:szCs w:val="24"/>
              </w:rPr>
              <w:t>by_contradiction</w:t>
            </w:r>
            <w:proofErr w:type="spellEnd"/>
            <w:r w:rsidRPr="00FE3A64">
              <w:rPr>
                <w:rFonts w:ascii="Calibri" w:hAnsi="Calibri" w:cs="Calibri"/>
                <w:sz w:val="24"/>
                <w:szCs w:val="24"/>
              </w:rPr>
              <w:t xml:space="preserve">, causing the proof to fail at the compilation level. Scenario 3 is well-handled, compiling successfully and using constructive reasoning across both disjunctive cases in a manner faithful to the task. In Scenario 4, the proof attempts to validate a different implication than the one required. In Part 2, theorems 1 through 3 are correct, demonstrating clean application of the provided axioms. Theorem 4 follows the correct logical idea but fails to compile due to an implicit argument error in </w:t>
            </w:r>
            <w:proofErr w:type="spellStart"/>
            <w:r w:rsidRPr="00FE3A64">
              <w:rPr>
                <w:rFonts w:ascii="Calibri" w:hAnsi="Calibri" w:cs="Calibri"/>
                <w:sz w:val="24"/>
                <w:szCs w:val="24"/>
              </w:rPr>
              <w:t>AxConjIntro</w:t>
            </w:r>
            <w:proofErr w:type="spellEnd"/>
            <w:r w:rsidRPr="00FE3A64">
              <w:rPr>
                <w:rFonts w:ascii="Calibri" w:hAnsi="Calibri" w:cs="Calibri"/>
                <w:sz w:val="24"/>
                <w:szCs w:val="24"/>
              </w:rPr>
              <w:t>, likely from how the contradiction is structured.</w:t>
            </w:r>
          </w:p>
        </w:tc>
      </w:tr>
    </w:tbl>
    <w:p w14:paraId="739D71EA" w14:textId="77777777" w:rsidR="008A395A" w:rsidRDefault="008A395A"/>
    <w:sectPr w:rsidR="008A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88"/>
    <w:rsid w:val="000E3804"/>
    <w:rsid w:val="00276D88"/>
    <w:rsid w:val="00401A85"/>
    <w:rsid w:val="004E25A6"/>
    <w:rsid w:val="004E3B7C"/>
    <w:rsid w:val="006F5C86"/>
    <w:rsid w:val="008A395A"/>
    <w:rsid w:val="00A870F1"/>
    <w:rsid w:val="00D52907"/>
    <w:rsid w:val="00EE33BF"/>
    <w:rsid w:val="00F4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0850C-BE5A-43E3-AE4C-8B8B9F60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5D"/>
  </w:style>
  <w:style w:type="paragraph" w:styleId="Heading1">
    <w:name w:val="heading 1"/>
    <w:basedOn w:val="Normal"/>
    <w:next w:val="Normal"/>
    <w:link w:val="Heading1Char"/>
    <w:uiPriority w:val="9"/>
    <w:qFormat/>
    <w:rsid w:val="0027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D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>University of Leeds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3</cp:revision>
  <dcterms:created xsi:type="dcterms:W3CDTF">2026-06-18T21:15:00Z</dcterms:created>
  <dcterms:modified xsi:type="dcterms:W3CDTF">2026-06-19T14:58:00Z</dcterms:modified>
</cp:coreProperties>
</file>