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C6F86" w14:textId="01D1C54F" w:rsidR="000C3F4E" w:rsidRPr="00E51847" w:rsidRDefault="000C3F4E" w:rsidP="000C3F4E">
      <w:pPr>
        <w:pStyle w:val="Title"/>
        <w:spacing w:line="480" w:lineRule="auto"/>
        <w:rPr>
          <w:rFonts w:ascii="Times New Roman" w:hAnsi="Times New Roman" w:cs="Times New Roman"/>
          <w:sz w:val="56"/>
          <w:szCs w:val="20"/>
        </w:rPr>
      </w:pPr>
      <w:r>
        <w:rPr>
          <w:rFonts w:ascii="Times New Roman" w:hAnsi="Times New Roman" w:cs="Times New Roman"/>
          <w:bCs/>
          <w:sz w:val="56"/>
          <w:szCs w:val="20"/>
        </w:rPr>
        <w:t>Capstone Final Report</w:t>
      </w:r>
    </w:p>
    <w:p w14:paraId="524F4710" w14:textId="77777777" w:rsidR="000C3F4E" w:rsidRPr="000A44D2" w:rsidRDefault="000C3F4E" w:rsidP="000C3F4E">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4666136B" w14:textId="4D77A6ED" w:rsidR="000C3F4E" w:rsidRPr="008D0F62" w:rsidRDefault="000C3F4E" w:rsidP="000C3F4E">
      <w:pPr>
        <w:spacing w:line="480" w:lineRule="auto"/>
        <w:jc w:val="center"/>
        <w:rPr>
          <w:rFonts w:ascii="Times New Roman" w:hAnsi="Times New Roman" w:cs="Times New Roman"/>
          <w:color w:val="44546A" w:themeColor="text2"/>
          <w:sz w:val="48"/>
          <w:szCs w:val="28"/>
        </w:rPr>
      </w:pPr>
      <w:r w:rsidRPr="000C3F4E">
        <w:rPr>
          <w:rFonts w:ascii="Times New Roman" w:hAnsi="Times New Roman" w:cs="Times New Roman"/>
          <w:color w:val="44546A" w:themeColor="text2"/>
          <w:sz w:val="48"/>
          <w:szCs w:val="28"/>
        </w:rPr>
        <w:t>Data Science Capstone</w:t>
      </w:r>
      <w:r w:rsidRPr="008D0F62">
        <w:rPr>
          <w:rFonts w:ascii="Times New Roman" w:hAnsi="Times New Roman" w:cs="Times New Roman"/>
          <w:color w:val="44546A" w:themeColor="text2"/>
          <w:sz w:val="48"/>
          <w:szCs w:val="28"/>
        </w:rPr>
        <w:t xml:space="preserve"> </w:t>
      </w:r>
    </w:p>
    <w:p w14:paraId="5503CB35" w14:textId="77777777" w:rsidR="000C3F4E" w:rsidRDefault="000C3F4E" w:rsidP="000C3F4E">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0D979A35" w14:textId="73434456" w:rsidR="000C3F4E" w:rsidRPr="00231360" w:rsidRDefault="000C3F4E" w:rsidP="000C3F4E">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18</w:t>
      </w:r>
      <w:r w:rsidRPr="00EB5F00">
        <w:rPr>
          <w:rFonts w:ascii="Times New Roman" w:hAnsi="Times New Roman" w:cs="Times New Roman"/>
          <w:color w:val="44546A" w:themeColor="text2"/>
          <w:sz w:val="28"/>
          <w:szCs w:val="24"/>
          <w:vertAlign w:val="superscript"/>
        </w:rPr>
        <w:t>th</w:t>
      </w:r>
      <w:r>
        <w:rPr>
          <w:rFonts w:ascii="Times New Roman" w:hAnsi="Times New Roman" w:cs="Times New Roman"/>
          <w:color w:val="44546A" w:themeColor="text2"/>
          <w:sz w:val="28"/>
          <w:szCs w:val="24"/>
        </w:rPr>
        <w:t xml:space="preserve"> Dec</w:t>
      </w:r>
      <w:r w:rsidRPr="00231360">
        <w:rPr>
          <w:rFonts w:ascii="Times New Roman" w:hAnsi="Times New Roman" w:cs="Times New Roman"/>
          <w:color w:val="44546A" w:themeColor="text2"/>
          <w:sz w:val="28"/>
          <w:szCs w:val="24"/>
        </w:rPr>
        <w:t xml:space="preserve"> 2020</w:t>
      </w:r>
    </w:p>
    <w:p w14:paraId="0FFF96C0" w14:textId="5BA2B2C0" w:rsidR="00510C41" w:rsidRDefault="00510C41">
      <w:r>
        <w:br w:type="page"/>
      </w:r>
    </w:p>
    <w:p w14:paraId="0BB060E5" w14:textId="17505BCB" w:rsidR="00257F1D" w:rsidRDefault="00510C41" w:rsidP="00510C41">
      <w:pPr>
        <w:pStyle w:val="Heading1"/>
      </w:pPr>
      <w:r>
        <w:lastRenderedPageBreak/>
        <w:t>Executive Summary</w:t>
      </w:r>
    </w:p>
    <w:p w14:paraId="641BF9A8" w14:textId="3C91BA11" w:rsidR="00510C41" w:rsidRDefault="00510C41" w:rsidP="00510C41">
      <w:pPr>
        <w:pStyle w:val="Default"/>
        <w:rPr>
          <w:color w:val="auto"/>
        </w:rPr>
      </w:pPr>
      <w:r w:rsidRPr="00510C41">
        <w:rPr>
          <w:color w:val="auto"/>
        </w:rPr>
        <w:t xml:space="preserve">The main objective of this report is to provide the findings related to building a machine learning model which will </w:t>
      </w:r>
      <w:r w:rsidRPr="00EC33DD">
        <w:rPr>
          <w:b/>
          <w:bCs/>
          <w:color w:val="auto"/>
        </w:rPr>
        <w:t>predict the probability of</w:t>
      </w:r>
      <w:r>
        <w:rPr>
          <w:color w:val="auto"/>
        </w:rPr>
        <w:t xml:space="preserve"> </w:t>
      </w:r>
      <w:r w:rsidRPr="00EC33DD">
        <w:rPr>
          <w:b/>
          <w:bCs/>
          <w:color w:val="auto"/>
        </w:rPr>
        <w:t>shareholder class action litigation</w:t>
      </w:r>
      <w:r>
        <w:rPr>
          <w:color w:val="auto"/>
        </w:rPr>
        <w:t xml:space="preserve"> and its </w:t>
      </w:r>
      <w:r w:rsidRPr="00EC33DD">
        <w:rPr>
          <w:b/>
          <w:bCs/>
          <w:color w:val="auto"/>
        </w:rPr>
        <w:t>severity</w:t>
      </w:r>
      <w:r>
        <w:rPr>
          <w:color w:val="auto"/>
        </w:rPr>
        <w:t xml:space="preserve"> for a company.</w:t>
      </w:r>
      <w:r w:rsidR="00EC33DD">
        <w:rPr>
          <w:color w:val="auto"/>
        </w:rPr>
        <w:t xml:space="preserve"> From a business perspective a each of the company buys insurance to protects themselves from these class actions lawsuits, but from the coverage perspective these companies are not sure how much it should be. This model will help in predicting if the company will be sued and if sued what would be tentative settlement amount, based on which CIO of the company can make the decision about the appropriate </w:t>
      </w:r>
      <w:r w:rsidR="002969F9">
        <w:rPr>
          <w:color w:val="auto"/>
        </w:rPr>
        <w:t xml:space="preserve">insurance </w:t>
      </w:r>
      <w:r w:rsidR="00EC33DD">
        <w:rPr>
          <w:color w:val="auto"/>
        </w:rPr>
        <w:t xml:space="preserve">coverage. </w:t>
      </w:r>
    </w:p>
    <w:p w14:paraId="3D9BE4AF" w14:textId="77777777" w:rsidR="006E062F" w:rsidRDefault="006E062F" w:rsidP="00510C41">
      <w:pPr>
        <w:pStyle w:val="Default"/>
        <w:rPr>
          <w:color w:val="auto"/>
        </w:rPr>
      </w:pPr>
    </w:p>
    <w:p w14:paraId="43FC05A2" w14:textId="20A0E47E" w:rsidR="002969F9" w:rsidRDefault="002969F9" w:rsidP="00510C41">
      <w:pPr>
        <w:pStyle w:val="Default"/>
        <w:rPr>
          <w:color w:val="auto"/>
        </w:rPr>
      </w:pPr>
      <w:r>
        <w:rPr>
          <w:color w:val="auto"/>
        </w:rPr>
        <w:t xml:space="preserve">The data used for the analysis comprised of the companies belonging to the sector, it comprised of annual filings done by the companies annually along with the restatements. Along with annual filings it also comprised of daily stocks trading and securities data for each of those companies. Besides </w:t>
      </w:r>
      <w:r w:rsidR="00CF235B">
        <w:rPr>
          <w:color w:val="auto"/>
        </w:rPr>
        <w:t>that,</w:t>
      </w:r>
      <w:r>
        <w:rPr>
          <w:color w:val="auto"/>
        </w:rPr>
        <w:t xml:space="preserve"> it had standard and poor ratings data for ach of those companies. </w:t>
      </w:r>
      <w:r w:rsidR="00CF235B">
        <w:rPr>
          <w:color w:val="auto"/>
        </w:rPr>
        <w:t xml:space="preserve">In summary data </w:t>
      </w:r>
      <w:r w:rsidR="000B307F">
        <w:rPr>
          <w:color w:val="auto"/>
        </w:rPr>
        <w:t xml:space="preserve">had 1768 variables for annual filings, stocks data had 76 variables, securities had 55 variables and ratings data had 6 variables. Number of records for the assigned section were 2323. </w:t>
      </w:r>
    </w:p>
    <w:p w14:paraId="576A8439" w14:textId="77777777" w:rsidR="006E062F" w:rsidRDefault="006E062F" w:rsidP="00510C41">
      <w:pPr>
        <w:pStyle w:val="Default"/>
        <w:rPr>
          <w:color w:val="auto"/>
        </w:rPr>
      </w:pPr>
    </w:p>
    <w:p w14:paraId="6DDAA2FE" w14:textId="1D6CE17B" w:rsidR="006E062F" w:rsidRDefault="006E062F" w:rsidP="006E062F">
      <w:pPr>
        <w:rPr>
          <w:rFonts w:ascii="Times New Roman" w:hAnsi="Times New Roman" w:cs="Times New Roman"/>
          <w:sz w:val="24"/>
          <w:szCs w:val="24"/>
        </w:rPr>
      </w:pPr>
      <w:r>
        <w:rPr>
          <w:rFonts w:ascii="Times New Roman" w:hAnsi="Times New Roman" w:cs="Times New Roman"/>
          <w:sz w:val="24"/>
          <w:szCs w:val="24"/>
        </w:rPr>
        <w:t xml:space="preserve">The Business objective, in this case, was to identify if the company will be subject to shareholder class action litigation, so the </w:t>
      </w:r>
      <w:r w:rsidRPr="006E062F">
        <w:rPr>
          <w:rFonts w:ascii="Times New Roman" w:hAnsi="Times New Roman" w:cs="Times New Roman"/>
          <w:b/>
          <w:bCs/>
          <w:sz w:val="24"/>
          <w:szCs w:val="24"/>
        </w:rPr>
        <w:t>target variable</w:t>
      </w:r>
      <w:r>
        <w:rPr>
          <w:rFonts w:ascii="Times New Roman" w:hAnsi="Times New Roman" w:cs="Times New Roman"/>
          <w:sz w:val="24"/>
          <w:szCs w:val="24"/>
        </w:rPr>
        <w:t xml:space="preserve"> was </w:t>
      </w:r>
      <w:r w:rsidRPr="006E062F">
        <w:rPr>
          <w:rFonts w:ascii="Times New Roman" w:hAnsi="Times New Roman" w:cs="Times New Roman"/>
          <w:b/>
          <w:bCs/>
          <w:sz w:val="24"/>
          <w:szCs w:val="24"/>
        </w:rPr>
        <w:t>is-litigated</w:t>
      </w:r>
      <w:r>
        <w:rPr>
          <w:rFonts w:ascii="Times New Roman" w:hAnsi="Times New Roman" w:cs="Times New Roman"/>
          <w:sz w:val="24"/>
          <w:szCs w:val="24"/>
        </w:rPr>
        <w:t xml:space="preserve">, and values could be “Yes” or “No”. Since this is classification problems, and the predictor variable is categorical/qualitative. First approach was to build the model using </w:t>
      </w:r>
      <w:r w:rsidRPr="006E062F">
        <w:rPr>
          <w:rFonts w:ascii="Times New Roman" w:hAnsi="Times New Roman" w:cs="Times New Roman"/>
          <w:b/>
          <w:bCs/>
          <w:sz w:val="24"/>
          <w:szCs w:val="24"/>
        </w:rPr>
        <w:t>logistic regression</w:t>
      </w:r>
      <w:r>
        <w:rPr>
          <w:rFonts w:ascii="Times New Roman" w:hAnsi="Times New Roman" w:cs="Times New Roman"/>
          <w:sz w:val="24"/>
          <w:szCs w:val="24"/>
        </w:rPr>
        <w:t xml:space="preserve">, analyze the performance, then alternatively use machine learning model </w:t>
      </w:r>
      <w:r w:rsidRPr="009420E5">
        <w:rPr>
          <w:rFonts w:ascii="Times New Roman" w:hAnsi="Times New Roman" w:cs="Times New Roman"/>
          <w:b/>
          <w:bCs/>
          <w:sz w:val="24"/>
          <w:szCs w:val="24"/>
        </w:rPr>
        <w:t>random forest</w:t>
      </w:r>
      <w:r>
        <w:rPr>
          <w:rFonts w:ascii="Times New Roman" w:hAnsi="Times New Roman" w:cs="Times New Roman"/>
          <w:b/>
          <w:bCs/>
          <w:sz w:val="24"/>
          <w:szCs w:val="24"/>
        </w:rPr>
        <w:t xml:space="preserve">. </w:t>
      </w:r>
      <w:r>
        <w:rPr>
          <w:rFonts w:ascii="Times New Roman" w:hAnsi="Times New Roman" w:cs="Times New Roman"/>
          <w:sz w:val="24"/>
          <w:szCs w:val="24"/>
        </w:rPr>
        <w:t xml:space="preserve"> Apart from these 2 model’s alternative models like gradient boosting which is better suited for classification and is based on tree model was tried for comparing with random forest performance. For logistic regression model comparison alternative models using linear discriminant analysis (LDA) and lasso regression were used as well. </w:t>
      </w:r>
      <w:r w:rsidR="00417ABC">
        <w:rPr>
          <w:rFonts w:ascii="Times New Roman" w:hAnsi="Times New Roman" w:cs="Times New Roman"/>
          <w:sz w:val="24"/>
          <w:szCs w:val="24"/>
        </w:rPr>
        <w:t>Below is summary view of model performance.</w:t>
      </w:r>
    </w:p>
    <w:p w14:paraId="32A8DDD7" w14:textId="30968A93" w:rsidR="00417ABC" w:rsidRDefault="00417ABC" w:rsidP="006E062F">
      <w:pPr>
        <w:rPr>
          <w:noProof/>
        </w:rPr>
      </w:pPr>
      <w:r>
        <w:rPr>
          <w:noProof/>
        </w:rPr>
        <w:drawing>
          <wp:inline distT="0" distB="0" distL="0" distR="0" wp14:anchorId="2C970A34" wp14:editId="597CF1F3">
            <wp:extent cx="3177540" cy="2301240"/>
            <wp:effectExtent l="0" t="0" r="3810" b="3810"/>
            <wp:docPr id="1" name="Chart 1">
              <a:extLst xmlns:a="http://schemas.openxmlformats.org/drawingml/2006/main">
                <a:ext uri="{FF2B5EF4-FFF2-40B4-BE49-F238E27FC236}">
                  <a16:creationId xmlns:a16="http://schemas.microsoft.com/office/drawing/2014/main" id="{742E04F9-DB2B-4F39-94F9-BA6788BB1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845171" w:rsidRPr="00845171">
        <w:rPr>
          <w:noProof/>
        </w:rPr>
        <w:t xml:space="preserve"> </w:t>
      </w:r>
      <w:r w:rsidR="00845171">
        <w:rPr>
          <w:noProof/>
        </w:rPr>
        <w:drawing>
          <wp:inline distT="0" distB="0" distL="0" distR="0" wp14:anchorId="2274E43C" wp14:editId="43B65886">
            <wp:extent cx="2682240" cy="2305050"/>
            <wp:effectExtent l="0" t="0" r="3810" b="0"/>
            <wp:docPr id="2" name="Chart 2">
              <a:extLst xmlns:a="http://schemas.openxmlformats.org/drawingml/2006/main">
                <a:ext uri="{FF2B5EF4-FFF2-40B4-BE49-F238E27FC236}">
                  <a16:creationId xmlns:a16="http://schemas.microsoft.com/office/drawing/2014/main" id="{EE07BFCD-7DE2-4A09-9054-11BB73DEF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4EF814" w14:textId="0A887DCE" w:rsidR="00144506" w:rsidRDefault="00144506" w:rsidP="006E062F">
      <w:pPr>
        <w:rPr>
          <w:rFonts w:ascii="Times New Roman" w:hAnsi="Times New Roman" w:cs="Times New Roman"/>
          <w:sz w:val="24"/>
          <w:szCs w:val="24"/>
        </w:rPr>
      </w:pPr>
      <w:r w:rsidRPr="00144506">
        <w:rPr>
          <w:rFonts w:ascii="Times New Roman" w:hAnsi="Times New Roman" w:cs="Times New Roman"/>
          <w:sz w:val="24"/>
          <w:szCs w:val="24"/>
        </w:rPr>
        <w:t xml:space="preserve">AUC represents degree or measure of separability. It tells how much model is capable of </w:t>
      </w:r>
      <w:r>
        <w:rPr>
          <w:rFonts w:ascii="Times New Roman" w:hAnsi="Times New Roman" w:cs="Times New Roman"/>
          <w:sz w:val="24"/>
          <w:szCs w:val="24"/>
        </w:rPr>
        <w:t>classifying, h</w:t>
      </w:r>
      <w:r w:rsidRPr="00144506">
        <w:rPr>
          <w:rFonts w:ascii="Times New Roman" w:hAnsi="Times New Roman" w:cs="Times New Roman"/>
          <w:sz w:val="24"/>
          <w:szCs w:val="24"/>
        </w:rPr>
        <w:t>igher the AUC, better the model is at predicting</w:t>
      </w:r>
      <w:r>
        <w:rPr>
          <w:rFonts w:ascii="Times New Roman" w:hAnsi="Times New Roman" w:cs="Times New Roman"/>
          <w:sz w:val="24"/>
          <w:szCs w:val="24"/>
        </w:rPr>
        <w:t>.</w:t>
      </w:r>
      <w:r w:rsidR="003B2463">
        <w:rPr>
          <w:rFonts w:ascii="Times New Roman" w:hAnsi="Times New Roman" w:cs="Times New Roman"/>
          <w:sz w:val="24"/>
          <w:szCs w:val="24"/>
        </w:rPr>
        <w:t xml:space="preserve"> </w:t>
      </w:r>
    </w:p>
    <w:p w14:paraId="314EFEC2" w14:textId="08DF1A8A" w:rsidR="003B2463" w:rsidRDefault="003B2463" w:rsidP="006E062F">
      <w:pPr>
        <w:rPr>
          <w:rFonts w:ascii="Times New Roman" w:hAnsi="Times New Roman" w:cs="Times New Roman"/>
          <w:sz w:val="24"/>
          <w:szCs w:val="24"/>
        </w:rPr>
      </w:pPr>
      <w:r>
        <w:rPr>
          <w:rFonts w:ascii="Times New Roman" w:hAnsi="Times New Roman" w:cs="Times New Roman"/>
          <w:sz w:val="24"/>
          <w:szCs w:val="24"/>
        </w:rPr>
        <w:t xml:space="preserve">Clearly random forest performance is better from accuracy as well as AUC perspective. Below </w:t>
      </w:r>
      <w:r w:rsidR="00675FAF">
        <w:rPr>
          <w:rFonts w:ascii="Times New Roman" w:hAnsi="Times New Roman" w:cs="Times New Roman"/>
          <w:sz w:val="24"/>
          <w:szCs w:val="24"/>
        </w:rPr>
        <w:t>is</w:t>
      </w:r>
      <w:r>
        <w:rPr>
          <w:rFonts w:ascii="Times New Roman" w:hAnsi="Times New Roman" w:cs="Times New Roman"/>
          <w:sz w:val="24"/>
          <w:szCs w:val="24"/>
        </w:rPr>
        <w:t xml:space="preserve"> the list of important variables which contribute significantly to predicting the target variable.</w:t>
      </w:r>
    </w:p>
    <w:tbl>
      <w:tblPr>
        <w:tblW w:w="8220" w:type="dxa"/>
        <w:tblLook w:val="04A0" w:firstRow="1" w:lastRow="0" w:firstColumn="1" w:lastColumn="0" w:noHBand="0" w:noVBand="1"/>
      </w:tblPr>
      <w:tblGrid>
        <w:gridCol w:w="960"/>
        <w:gridCol w:w="1110"/>
        <w:gridCol w:w="6280"/>
      </w:tblGrid>
      <w:tr w:rsidR="002F5111" w:rsidRPr="002F5111" w14:paraId="5938A2F3" w14:textId="77777777" w:rsidTr="002F5111">
        <w:trPr>
          <w:trHeight w:val="312"/>
        </w:trPr>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B89DA43" w14:textId="77777777" w:rsidR="002F5111" w:rsidRPr="002F5111" w:rsidRDefault="002F5111" w:rsidP="002F5111">
            <w:pPr>
              <w:spacing w:after="0" w:line="240" w:lineRule="auto"/>
              <w:rPr>
                <w:rFonts w:ascii="Times New Roman" w:eastAsia="Times New Roman" w:hAnsi="Times New Roman" w:cs="Times New Roman"/>
                <w:color w:val="FFFFFF"/>
                <w:sz w:val="24"/>
                <w:szCs w:val="24"/>
              </w:rPr>
            </w:pPr>
            <w:r w:rsidRPr="002F5111">
              <w:rPr>
                <w:rFonts w:ascii="Times New Roman" w:eastAsia="Times New Roman" w:hAnsi="Times New Roman" w:cs="Times New Roman"/>
                <w:color w:val="FFFFFF"/>
                <w:sz w:val="24"/>
                <w:szCs w:val="24"/>
              </w:rPr>
              <w:lastRenderedPageBreak/>
              <w:t>Sr No</w:t>
            </w:r>
          </w:p>
        </w:tc>
        <w:tc>
          <w:tcPr>
            <w:tcW w:w="980" w:type="dxa"/>
            <w:tcBorders>
              <w:top w:val="single" w:sz="4" w:space="0" w:color="auto"/>
              <w:left w:val="nil"/>
              <w:bottom w:val="single" w:sz="4" w:space="0" w:color="auto"/>
              <w:right w:val="single" w:sz="4" w:space="0" w:color="auto"/>
            </w:tcBorders>
            <w:shd w:val="clear" w:color="000000" w:fill="4472C4"/>
            <w:noWrap/>
            <w:vAlign w:val="bottom"/>
            <w:hideMark/>
          </w:tcPr>
          <w:p w14:paraId="728732F3" w14:textId="77777777" w:rsidR="002F5111" w:rsidRPr="002F5111" w:rsidRDefault="002F5111" w:rsidP="002F5111">
            <w:pPr>
              <w:spacing w:after="0" w:line="240" w:lineRule="auto"/>
              <w:rPr>
                <w:rFonts w:ascii="Times New Roman" w:eastAsia="Times New Roman" w:hAnsi="Times New Roman" w:cs="Times New Roman"/>
                <w:color w:val="FFFFFF"/>
                <w:sz w:val="24"/>
                <w:szCs w:val="24"/>
              </w:rPr>
            </w:pPr>
            <w:r w:rsidRPr="002F5111">
              <w:rPr>
                <w:rFonts w:ascii="Times New Roman" w:eastAsia="Times New Roman" w:hAnsi="Times New Roman" w:cs="Times New Roman"/>
                <w:color w:val="FFFFFF"/>
                <w:sz w:val="24"/>
                <w:szCs w:val="24"/>
              </w:rPr>
              <w:t>Variable</w:t>
            </w:r>
          </w:p>
        </w:tc>
        <w:tc>
          <w:tcPr>
            <w:tcW w:w="6280" w:type="dxa"/>
            <w:tcBorders>
              <w:top w:val="single" w:sz="4" w:space="0" w:color="auto"/>
              <w:left w:val="nil"/>
              <w:bottom w:val="single" w:sz="4" w:space="0" w:color="auto"/>
              <w:right w:val="single" w:sz="4" w:space="0" w:color="auto"/>
            </w:tcBorders>
            <w:shd w:val="clear" w:color="000000" w:fill="4472C4"/>
            <w:noWrap/>
            <w:vAlign w:val="bottom"/>
            <w:hideMark/>
          </w:tcPr>
          <w:p w14:paraId="47BA82CC" w14:textId="77777777" w:rsidR="002F5111" w:rsidRPr="002F5111" w:rsidRDefault="002F5111" w:rsidP="002F5111">
            <w:pPr>
              <w:spacing w:after="0" w:line="240" w:lineRule="auto"/>
              <w:rPr>
                <w:rFonts w:ascii="Times New Roman" w:eastAsia="Times New Roman" w:hAnsi="Times New Roman" w:cs="Times New Roman"/>
                <w:color w:val="FFFFFF"/>
                <w:sz w:val="24"/>
                <w:szCs w:val="24"/>
              </w:rPr>
            </w:pPr>
            <w:r w:rsidRPr="002F5111">
              <w:rPr>
                <w:rFonts w:ascii="Times New Roman" w:eastAsia="Times New Roman" w:hAnsi="Times New Roman" w:cs="Times New Roman"/>
                <w:color w:val="FFFFFF"/>
                <w:sz w:val="24"/>
                <w:szCs w:val="24"/>
              </w:rPr>
              <w:t>Description</w:t>
            </w:r>
          </w:p>
        </w:tc>
      </w:tr>
      <w:tr w:rsidR="002F5111" w:rsidRPr="002F5111" w14:paraId="3919C832"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0321F"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w:t>
            </w:r>
          </w:p>
        </w:tc>
        <w:tc>
          <w:tcPr>
            <w:tcW w:w="980" w:type="dxa"/>
            <w:tcBorders>
              <w:top w:val="nil"/>
              <w:left w:val="nil"/>
              <w:bottom w:val="single" w:sz="4" w:space="0" w:color="auto"/>
              <w:right w:val="single" w:sz="4" w:space="0" w:color="auto"/>
            </w:tcBorders>
            <w:shd w:val="clear" w:color="000000" w:fill="FFFFFF"/>
            <w:vAlign w:val="center"/>
            <w:hideMark/>
          </w:tcPr>
          <w:p w14:paraId="0A1FB40B"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re</w:t>
            </w:r>
          </w:p>
        </w:tc>
        <w:tc>
          <w:tcPr>
            <w:tcW w:w="6280" w:type="dxa"/>
            <w:tcBorders>
              <w:top w:val="nil"/>
              <w:left w:val="nil"/>
              <w:bottom w:val="single" w:sz="4" w:space="0" w:color="auto"/>
              <w:right w:val="single" w:sz="4" w:space="0" w:color="auto"/>
            </w:tcBorders>
            <w:shd w:val="clear" w:color="000000" w:fill="FFFFFF"/>
            <w:vAlign w:val="center"/>
            <w:hideMark/>
          </w:tcPr>
          <w:p w14:paraId="7D4AC94F"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Retained Earnings</w:t>
            </w:r>
          </w:p>
        </w:tc>
      </w:tr>
      <w:tr w:rsidR="002F5111" w:rsidRPr="002F5111" w14:paraId="6F0D853D"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22009B"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14:paraId="0C7DF701"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pe_ratio</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577999C8"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 xml:space="preserve">Price to </w:t>
            </w:r>
            <w:proofErr w:type="spellStart"/>
            <w:r w:rsidRPr="002F5111">
              <w:rPr>
                <w:rFonts w:ascii="Times New Roman" w:eastAsia="Times New Roman" w:hAnsi="Times New Roman" w:cs="Times New Roman"/>
                <w:color w:val="000000"/>
                <w:sz w:val="24"/>
                <w:szCs w:val="24"/>
              </w:rPr>
              <w:t>earning</w:t>
            </w:r>
            <w:proofErr w:type="spellEnd"/>
            <w:r w:rsidRPr="002F5111">
              <w:rPr>
                <w:rFonts w:ascii="Times New Roman" w:eastAsia="Times New Roman" w:hAnsi="Times New Roman" w:cs="Times New Roman"/>
                <w:color w:val="000000"/>
                <w:sz w:val="24"/>
                <w:szCs w:val="24"/>
              </w:rPr>
              <w:t xml:space="preserve"> ratio</w:t>
            </w:r>
          </w:p>
        </w:tc>
      </w:tr>
      <w:tr w:rsidR="002F5111" w:rsidRPr="002F5111" w14:paraId="7C012DA1"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BD7177"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14:paraId="22B6C942"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ao</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5953B986"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Assets - Other</w:t>
            </w:r>
          </w:p>
        </w:tc>
      </w:tr>
      <w:tr w:rsidR="002F5111" w:rsidRPr="002F5111" w14:paraId="6AC4CDFC"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408587"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4</w:t>
            </w:r>
          </w:p>
        </w:tc>
        <w:tc>
          <w:tcPr>
            <w:tcW w:w="980" w:type="dxa"/>
            <w:tcBorders>
              <w:top w:val="nil"/>
              <w:left w:val="nil"/>
              <w:bottom w:val="single" w:sz="4" w:space="0" w:color="auto"/>
              <w:right w:val="single" w:sz="4" w:space="0" w:color="auto"/>
            </w:tcBorders>
            <w:shd w:val="clear" w:color="000000" w:fill="FFFFFF"/>
            <w:vAlign w:val="center"/>
            <w:hideMark/>
          </w:tcPr>
          <w:p w14:paraId="4A4F789D"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epspi</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65D30071"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Earnings Per Share (Basic) - Including Extraordinary Items</w:t>
            </w:r>
          </w:p>
        </w:tc>
      </w:tr>
      <w:tr w:rsidR="002F5111" w:rsidRPr="002F5111" w14:paraId="059615B7"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1F1BB5"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5</w:t>
            </w:r>
          </w:p>
        </w:tc>
        <w:tc>
          <w:tcPr>
            <w:tcW w:w="980" w:type="dxa"/>
            <w:tcBorders>
              <w:top w:val="nil"/>
              <w:left w:val="nil"/>
              <w:bottom w:val="single" w:sz="4" w:space="0" w:color="auto"/>
              <w:right w:val="single" w:sz="4" w:space="0" w:color="auto"/>
            </w:tcBorders>
            <w:shd w:val="clear" w:color="000000" w:fill="FFFFFF"/>
            <w:vAlign w:val="center"/>
            <w:hideMark/>
          </w:tcPr>
          <w:p w14:paraId="1376BC9C"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wcap</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4D2E5595"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Working Capital (Balance Sheet)</w:t>
            </w:r>
          </w:p>
        </w:tc>
      </w:tr>
      <w:tr w:rsidR="002F5111" w:rsidRPr="002F5111" w14:paraId="7F68065F"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BC620"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6</w:t>
            </w:r>
          </w:p>
        </w:tc>
        <w:tc>
          <w:tcPr>
            <w:tcW w:w="980" w:type="dxa"/>
            <w:tcBorders>
              <w:top w:val="nil"/>
              <w:left w:val="nil"/>
              <w:bottom w:val="single" w:sz="4" w:space="0" w:color="auto"/>
              <w:right w:val="single" w:sz="4" w:space="0" w:color="auto"/>
            </w:tcBorders>
            <w:shd w:val="clear" w:color="000000" w:fill="FFFFFF"/>
            <w:vAlign w:val="center"/>
            <w:hideMark/>
          </w:tcPr>
          <w:p w14:paraId="497C9FC1"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caps</w:t>
            </w:r>
          </w:p>
        </w:tc>
        <w:tc>
          <w:tcPr>
            <w:tcW w:w="6280" w:type="dxa"/>
            <w:tcBorders>
              <w:top w:val="nil"/>
              <w:left w:val="nil"/>
              <w:bottom w:val="single" w:sz="4" w:space="0" w:color="auto"/>
              <w:right w:val="single" w:sz="4" w:space="0" w:color="auto"/>
            </w:tcBorders>
            <w:shd w:val="clear" w:color="000000" w:fill="FFFFFF"/>
            <w:vAlign w:val="center"/>
            <w:hideMark/>
          </w:tcPr>
          <w:p w14:paraId="4D0978B1"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Capital Surplus/Share Premium Reserve</w:t>
            </w:r>
          </w:p>
        </w:tc>
      </w:tr>
      <w:tr w:rsidR="002F5111" w:rsidRPr="002F5111" w14:paraId="5AEC3832"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C9762D"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7</w:t>
            </w:r>
          </w:p>
        </w:tc>
        <w:tc>
          <w:tcPr>
            <w:tcW w:w="980" w:type="dxa"/>
            <w:tcBorders>
              <w:top w:val="nil"/>
              <w:left w:val="nil"/>
              <w:bottom w:val="single" w:sz="4" w:space="0" w:color="auto"/>
              <w:right w:val="single" w:sz="4" w:space="0" w:color="auto"/>
            </w:tcBorders>
            <w:shd w:val="clear" w:color="000000" w:fill="FFFFFF"/>
            <w:vAlign w:val="center"/>
            <w:hideMark/>
          </w:tcPr>
          <w:p w14:paraId="4FC78C5D"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acominc</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3560BAD4"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Accumulated Other Comprehensive Income (Loss)</w:t>
            </w:r>
          </w:p>
        </w:tc>
      </w:tr>
      <w:tr w:rsidR="002F5111" w:rsidRPr="002F5111" w14:paraId="7D42C0A6"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4C68F"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8</w:t>
            </w:r>
          </w:p>
        </w:tc>
        <w:tc>
          <w:tcPr>
            <w:tcW w:w="980" w:type="dxa"/>
            <w:tcBorders>
              <w:top w:val="nil"/>
              <w:left w:val="nil"/>
              <w:bottom w:val="single" w:sz="4" w:space="0" w:color="auto"/>
              <w:right w:val="single" w:sz="4" w:space="0" w:color="auto"/>
            </w:tcBorders>
            <w:shd w:val="clear" w:color="000000" w:fill="FFFFFF"/>
            <w:vAlign w:val="center"/>
            <w:hideMark/>
          </w:tcPr>
          <w:p w14:paraId="0AB2211D"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ebit</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6EACFBBF"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Earnings Before Interest and Taxes</w:t>
            </w:r>
          </w:p>
        </w:tc>
      </w:tr>
      <w:tr w:rsidR="002F5111" w:rsidRPr="002F5111" w14:paraId="2C13F870"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E5A0A9"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9</w:t>
            </w:r>
          </w:p>
        </w:tc>
        <w:tc>
          <w:tcPr>
            <w:tcW w:w="980" w:type="dxa"/>
            <w:tcBorders>
              <w:top w:val="nil"/>
              <w:left w:val="nil"/>
              <w:bottom w:val="single" w:sz="4" w:space="0" w:color="auto"/>
              <w:right w:val="single" w:sz="4" w:space="0" w:color="auto"/>
            </w:tcBorders>
            <w:shd w:val="clear" w:color="000000" w:fill="FFFFFF"/>
            <w:vAlign w:val="center"/>
            <w:hideMark/>
          </w:tcPr>
          <w:p w14:paraId="78512CB6"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cstk</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5D2D4098"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Common/Ordinary Stock (Capital)</w:t>
            </w:r>
          </w:p>
        </w:tc>
      </w:tr>
      <w:tr w:rsidR="002F5111" w:rsidRPr="002F5111" w14:paraId="41829012"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EA5C6"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14:paraId="399A628A"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cshtrd_m</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72C31827"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Trading Volume - Daily</w:t>
            </w:r>
          </w:p>
        </w:tc>
      </w:tr>
      <w:tr w:rsidR="002F5111" w:rsidRPr="002F5111" w14:paraId="302B57FD"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DDEC7"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11</w:t>
            </w:r>
          </w:p>
        </w:tc>
        <w:tc>
          <w:tcPr>
            <w:tcW w:w="980" w:type="dxa"/>
            <w:tcBorders>
              <w:top w:val="nil"/>
              <w:left w:val="nil"/>
              <w:bottom w:val="single" w:sz="4" w:space="0" w:color="auto"/>
              <w:right w:val="single" w:sz="4" w:space="0" w:color="auto"/>
            </w:tcBorders>
            <w:shd w:val="clear" w:color="000000" w:fill="FFFFFF"/>
            <w:vAlign w:val="center"/>
            <w:hideMark/>
          </w:tcPr>
          <w:p w14:paraId="02B842C7"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revt</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71E66E88"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Revenue - Total</w:t>
            </w:r>
          </w:p>
        </w:tc>
      </w:tr>
      <w:tr w:rsidR="002F5111" w:rsidRPr="002F5111" w14:paraId="5E6B4C5A"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43C7"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12</w:t>
            </w:r>
          </w:p>
        </w:tc>
        <w:tc>
          <w:tcPr>
            <w:tcW w:w="980" w:type="dxa"/>
            <w:tcBorders>
              <w:top w:val="nil"/>
              <w:left w:val="nil"/>
              <w:bottom w:val="single" w:sz="4" w:space="0" w:color="auto"/>
              <w:right w:val="single" w:sz="4" w:space="0" w:color="auto"/>
            </w:tcBorders>
            <w:shd w:val="clear" w:color="000000" w:fill="FFFFFF"/>
            <w:vAlign w:val="center"/>
            <w:hideMark/>
          </w:tcPr>
          <w:p w14:paraId="3BC3EBFB"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chech</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6640C8FC" w14:textId="7DB07CC6"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Cash and Cash Equivalents - Increase/Decrease</w:t>
            </w:r>
          </w:p>
        </w:tc>
      </w:tr>
      <w:tr w:rsidR="002F5111" w:rsidRPr="002F5111" w14:paraId="6D2106E9"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D0C9C"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13</w:t>
            </w:r>
          </w:p>
        </w:tc>
        <w:tc>
          <w:tcPr>
            <w:tcW w:w="980" w:type="dxa"/>
            <w:tcBorders>
              <w:top w:val="nil"/>
              <w:left w:val="nil"/>
              <w:bottom w:val="single" w:sz="4" w:space="0" w:color="auto"/>
              <w:right w:val="single" w:sz="4" w:space="0" w:color="auto"/>
            </w:tcBorders>
            <w:shd w:val="clear" w:color="000000" w:fill="FFFFFF"/>
            <w:vAlign w:val="center"/>
            <w:hideMark/>
          </w:tcPr>
          <w:p w14:paraId="6DB9966F"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aco</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03CD1165"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Current Assets - Other - Total</w:t>
            </w:r>
          </w:p>
        </w:tc>
      </w:tr>
      <w:tr w:rsidR="002F5111" w:rsidRPr="002F5111" w14:paraId="4ED84241"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1313D4"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14</w:t>
            </w:r>
          </w:p>
        </w:tc>
        <w:tc>
          <w:tcPr>
            <w:tcW w:w="980" w:type="dxa"/>
            <w:tcBorders>
              <w:top w:val="nil"/>
              <w:left w:val="nil"/>
              <w:bottom w:val="single" w:sz="4" w:space="0" w:color="auto"/>
              <w:right w:val="single" w:sz="4" w:space="0" w:color="auto"/>
            </w:tcBorders>
            <w:shd w:val="clear" w:color="000000" w:fill="FFFFFF"/>
            <w:vAlign w:val="center"/>
            <w:hideMark/>
          </w:tcPr>
          <w:p w14:paraId="21EC772C"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aoloch</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07A48D95"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Assets and Liabilities - Other - Net Change</w:t>
            </w:r>
          </w:p>
        </w:tc>
      </w:tr>
      <w:tr w:rsidR="002F5111" w:rsidRPr="002F5111" w14:paraId="7B91EC5B"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728922"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15</w:t>
            </w:r>
          </w:p>
        </w:tc>
        <w:tc>
          <w:tcPr>
            <w:tcW w:w="980" w:type="dxa"/>
            <w:tcBorders>
              <w:top w:val="nil"/>
              <w:left w:val="nil"/>
              <w:bottom w:val="single" w:sz="4" w:space="0" w:color="auto"/>
              <w:right w:val="single" w:sz="4" w:space="0" w:color="auto"/>
            </w:tcBorders>
            <w:shd w:val="clear" w:color="auto" w:fill="auto"/>
            <w:noWrap/>
            <w:vAlign w:val="bottom"/>
            <w:hideMark/>
          </w:tcPr>
          <w:p w14:paraId="1A03CF2C"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prccd_m</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1F2F7B17"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Price - Close - Daily</w:t>
            </w:r>
          </w:p>
        </w:tc>
      </w:tr>
      <w:tr w:rsidR="002F5111" w:rsidRPr="002F5111" w14:paraId="4D6CED75"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55872"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16</w:t>
            </w:r>
          </w:p>
        </w:tc>
        <w:tc>
          <w:tcPr>
            <w:tcW w:w="980" w:type="dxa"/>
            <w:tcBorders>
              <w:top w:val="nil"/>
              <w:left w:val="nil"/>
              <w:bottom w:val="single" w:sz="4" w:space="0" w:color="auto"/>
              <w:right w:val="single" w:sz="4" w:space="0" w:color="auto"/>
            </w:tcBorders>
            <w:shd w:val="clear" w:color="000000" w:fill="FFFFFF"/>
            <w:vAlign w:val="center"/>
            <w:hideMark/>
          </w:tcPr>
          <w:p w14:paraId="3BBECAC8"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ch</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21762B6E"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Cash</w:t>
            </w:r>
          </w:p>
        </w:tc>
      </w:tr>
      <w:tr w:rsidR="002F5111" w:rsidRPr="002F5111" w14:paraId="5B5432E6"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DE7AD1"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17</w:t>
            </w:r>
          </w:p>
        </w:tc>
        <w:tc>
          <w:tcPr>
            <w:tcW w:w="980" w:type="dxa"/>
            <w:tcBorders>
              <w:top w:val="nil"/>
              <w:left w:val="nil"/>
              <w:bottom w:val="single" w:sz="4" w:space="0" w:color="auto"/>
              <w:right w:val="single" w:sz="4" w:space="0" w:color="auto"/>
            </w:tcBorders>
            <w:shd w:val="clear" w:color="000000" w:fill="FFFFFF"/>
            <w:vAlign w:val="center"/>
            <w:hideMark/>
          </w:tcPr>
          <w:p w14:paraId="001A918D"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prcod_m</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164E77BC"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Price - Open - Daily</w:t>
            </w:r>
          </w:p>
        </w:tc>
      </w:tr>
      <w:tr w:rsidR="002F5111" w:rsidRPr="002F5111" w14:paraId="1CCD6685"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319453"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18</w:t>
            </w:r>
          </w:p>
        </w:tc>
        <w:tc>
          <w:tcPr>
            <w:tcW w:w="980" w:type="dxa"/>
            <w:tcBorders>
              <w:top w:val="nil"/>
              <w:left w:val="nil"/>
              <w:bottom w:val="single" w:sz="4" w:space="0" w:color="auto"/>
              <w:right w:val="single" w:sz="4" w:space="0" w:color="auto"/>
            </w:tcBorders>
            <w:shd w:val="clear" w:color="auto" w:fill="auto"/>
            <w:noWrap/>
            <w:vAlign w:val="bottom"/>
            <w:hideMark/>
          </w:tcPr>
          <w:p w14:paraId="3114205A"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roe_ratio</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6C29DB42"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Return on equity ratio</w:t>
            </w:r>
          </w:p>
        </w:tc>
      </w:tr>
      <w:tr w:rsidR="002F5111" w:rsidRPr="002F5111" w14:paraId="40914C4C"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E2B364"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19</w:t>
            </w:r>
          </w:p>
        </w:tc>
        <w:tc>
          <w:tcPr>
            <w:tcW w:w="980" w:type="dxa"/>
            <w:tcBorders>
              <w:top w:val="nil"/>
              <w:left w:val="nil"/>
              <w:bottom w:val="single" w:sz="4" w:space="0" w:color="auto"/>
              <w:right w:val="single" w:sz="4" w:space="0" w:color="auto"/>
            </w:tcBorders>
            <w:shd w:val="clear" w:color="auto" w:fill="auto"/>
            <w:noWrap/>
            <w:vAlign w:val="bottom"/>
            <w:hideMark/>
          </w:tcPr>
          <w:p w14:paraId="2A08CA36"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teq</w:t>
            </w:r>
            <w:proofErr w:type="spellEnd"/>
          </w:p>
        </w:tc>
        <w:tc>
          <w:tcPr>
            <w:tcW w:w="6280" w:type="dxa"/>
            <w:tcBorders>
              <w:top w:val="nil"/>
              <w:left w:val="nil"/>
              <w:bottom w:val="single" w:sz="4" w:space="0" w:color="auto"/>
              <w:right w:val="single" w:sz="4" w:space="0" w:color="auto"/>
            </w:tcBorders>
            <w:shd w:val="clear" w:color="000000" w:fill="FFFFFF"/>
            <w:vAlign w:val="center"/>
            <w:hideMark/>
          </w:tcPr>
          <w:p w14:paraId="2E424D04"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Stockholders Equity - Total</w:t>
            </w:r>
          </w:p>
        </w:tc>
      </w:tr>
      <w:tr w:rsidR="002F5111" w:rsidRPr="002F5111" w14:paraId="0238AA5F" w14:textId="77777777" w:rsidTr="002F5111">
        <w:trPr>
          <w:trHeight w:val="31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28E224" w14:textId="77777777" w:rsidR="002F5111" w:rsidRPr="002F5111" w:rsidRDefault="002F5111" w:rsidP="002F5111">
            <w:pPr>
              <w:spacing w:after="0" w:line="240" w:lineRule="auto"/>
              <w:jc w:val="right"/>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20</w:t>
            </w:r>
          </w:p>
        </w:tc>
        <w:tc>
          <w:tcPr>
            <w:tcW w:w="980" w:type="dxa"/>
            <w:tcBorders>
              <w:top w:val="nil"/>
              <w:left w:val="nil"/>
              <w:bottom w:val="single" w:sz="4" w:space="0" w:color="auto"/>
              <w:right w:val="single" w:sz="4" w:space="0" w:color="auto"/>
            </w:tcBorders>
            <w:shd w:val="clear" w:color="auto" w:fill="auto"/>
            <w:noWrap/>
            <w:vAlign w:val="bottom"/>
            <w:hideMark/>
          </w:tcPr>
          <w:p w14:paraId="38785373" w14:textId="77777777" w:rsidR="002F5111" w:rsidRPr="002F5111" w:rsidRDefault="002F5111" w:rsidP="002F5111">
            <w:pPr>
              <w:spacing w:after="0" w:line="240" w:lineRule="auto"/>
              <w:rPr>
                <w:rFonts w:ascii="Times New Roman" w:eastAsia="Times New Roman" w:hAnsi="Times New Roman" w:cs="Times New Roman"/>
                <w:color w:val="000000"/>
                <w:sz w:val="24"/>
                <w:szCs w:val="24"/>
              </w:rPr>
            </w:pPr>
            <w:proofErr w:type="spellStart"/>
            <w:r w:rsidRPr="002F5111">
              <w:rPr>
                <w:rFonts w:ascii="Times New Roman" w:eastAsia="Times New Roman" w:hAnsi="Times New Roman" w:cs="Times New Roman"/>
                <w:color w:val="000000"/>
                <w:sz w:val="24"/>
                <w:szCs w:val="24"/>
              </w:rPr>
              <w:t>wc_ratio</w:t>
            </w:r>
            <w:proofErr w:type="spellEnd"/>
          </w:p>
        </w:tc>
        <w:tc>
          <w:tcPr>
            <w:tcW w:w="6280" w:type="dxa"/>
            <w:tcBorders>
              <w:top w:val="nil"/>
              <w:left w:val="nil"/>
              <w:bottom w:val="single" w:sz="4" w:space="0" w:color="auto"/>
              <w:right w:val="single" w:sz="4" w:space="0" w:color="auto"/>
            </w:tcBorders>
            <w:shd w:val="clear" w:color="auto" w:fill="auto"/>
            <w:noWrap/>
            <w:vAlign w:val="bottom"/>
            <w:hideMark/>
          </w:tcPr>
          <w:p w14:paraId="7B262A7B" w14:textId="5D5E099E" w:rsidR="002F5111" w:rsidRPr="002F5111" w:rsidRDefault="002F5111" w:rsidP="002F5111">
            <w:pPr>
              <w:spacing w:after="0" w:line="240" w:lineRule="auto"/>
              <w:rPr>
                <w:rFonts w:ascii="Times New Roman" w:eastAsia="Times New Roman" w:hAnsi="Times New Roman" w:cs="Times New Roman"/>
                <w:color w:val="000000"/>
                <w:sz w:val="24"/>
                <w:szCs w:val="24"/>
              </w:rPr>
            </w:pPr>
            <w:r w:rsidRPr="002F5111">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o</w:t>
            </w:r>
            <w:r w:rsidRPr="002F5111">
              <w:rPr>
                <w:rFonts w:ascii="Times New Roman" w:eastAsia="Times New Roman" w:hAnsi="Times New Roman" w:cs="Times New Roman"/>
                <w:color w:val="000000"/>
                <w:sz w:val="24"/>
                <w:szCs w:val="24"/>
              </w:rPr>
              <w:t>rking capital ratio</w:t>
            </w:r>
          </w:p>
        </w:tc>
      </w:tr>
    </w:tbl>
    <w:p w14:paraId="44EDCBFE" w14:textId="7209C705" w:rsidR="003B2463" w:rsidRDefault="003B2463" w:rsidP="006E062F">
      <w:pPr>
        <w:rPr>
          <w:rFonts w:ascii="Times New Roman" w:hAnsi="Times New Roman" w:cs="Times New Roman"/>
          <w:sz w:val="24"/>
          <w:szCs w:val="24"/>
        </w:rPr>
      </w:pPr>
    </w:p>
    <w:p w14:paraId="7C24EF11" w14:textId="5C2C7888" w:rsidR="00675FAF" w:rsidRDefault="00675FAF" w:rsidP="006E062F">
      <w:pPr>
        <w:rPr>
          <w:rFonts w:ascii="Times New Roman" w:hAnsi="Times New Roman" w:cs="Times New Roman"/>
          <w:sz w:val="24"/>
          <w:szCs w:val="24"/>
        </w:rPr>
      </w:pPr>
      <w:r>
        <w:rPr>
          <w:rFonts w:ascii="Times New Roman" w:hAnsi="Times New Roman" w:cs="Times New Roman"/>
          <w:sz w:val="24"/>
          <w:szCs w:val="24"/>
        </w:rPr>
        <w:t>Key financial indicators related to capital, assets, earnings, stock volatility (daily opening and closing) play a significant role in predicting the target variable.</w:t>
      </w:r>
    </w:p>
    <w:p w14:paraId="7F6DF127" w14:textId="27698851" w:rsidR="00510C41" w:rsidRDefault="00510C41" w:rsidP="00510C41">
      <w:pPr>
        <w:pStyle w:val="Heading1"/>
      </w:pPr>
      <w:r>
        <w:t xml:space="preserve">Data and Approach </w:t>
      </w:r>
    </w:p>
    <w:p w14:paraId="04CA340E" w14:textId="1C84168A" w:rsidR="00E52629" w:rsidRDefault="00E52629" w:rsidP="00E52629">
      <w:pPr>
        <w:pStyle w:val="HTMLPreformatted"/>
        <w:shd w:val="clear" w:color="auto" w:fill="FFFFFF"/>
        <w:rPr>
          <w:rFonts w:ascii="Times New Roman" w:hAnsi="Times New Roman" w:cs="Times New Roman"/>
          <w:sz w:val="24"/>
          <w:szCs w:val="24"/>
        </w:rPr>
      </w:pPr>
      <w:r w:rsidRPr="00E52629">
        <w:rPr>
          <w:rFonts w:ascii="Times New Roman" w:hAnsi="Times New Roman" w:cs="Times New Roman"/>
          <w:sz w:val="24"/>
          <w:szCs w:val="24"/>
        </w:rPr>
        <w:t xml:space="preserve">The data available for analysis contains </w:t>
      </w:r>
      <w:r w:rsidRPr="00E52629">
        <w:rPr>
          <w:rFonts w:ascii="Times New Roman" w:hAnsi="Times New Roman" w:cs="Times New Roman"/>
          <w:sz w:val="24"/>
          <w:szCs w:val="24"/>
        </w:rPr>
        <w:t>17</w:t>
      </w:r>
      <w:r w:rsidRPr="00E52629">
        <w:rPr>
          <w:rFonts w:ascii="Times New Roman" w:hAnsi="Times New Roman" w:cs="Times New Roman"/>
          <w:sz w:val="24"/>
          <w:szCs w:val="24"/>
        </w:rPr>
        <w:t>,</w:t>
      </w:r>
      <w:r w:rsidRPr="00E52629">
        <w:rPr>
          <w:rFonts w:ascii="Times New Roman" w:hAnsi="Times New Roman" w:cs="Times New Roman"/>
          <w:sz w:val="24"/>
          <w:szCs w:val="24"/>
        </w:rPr>
        <w:t>416</w:t>
      </w:r>
      <w:r w:rsidRPr="00E52629">
        <w:rPr>
          <w:rFonts w:ascii="Times New Roman" w:hAnsi="Times New Roman" w:cs="Times New Roman"/>
          <w:sz w:val="24"/>
          <w:szCs w:val="24"/>
        </w:rPr>
        <w:t xml:space="preserve"> observation</w:t>
      </w:r>
      <w:r>
        <w:rPr>
          <w:rFonts w:ascii="Times New Roman" w:hAnsi="Times New Roman" w:cs="Times New Roman"/>
          <w:sz w:val="24"/>
          <w:szCs w:val="24"/>
        </w:rPr>
        <w:t>, these include annual statements issued by publicly traded companies in North America as well as restatements. Since these companies belonging to various sectors and each sector litigation parameters could vary, hence filtered the data to contain only observation from assigned company sector. Assigned company is SJM (</w:t>
      </w:r>
      <w:r w:rsidRPr="00E52629">
        <w:rPr>
          <w:rFonts w:ascii="Times New Roman" w:hAnsi="Times New Roman" w:cs="Times New Roman"/>
          <w:sz w:val="24"/>
          <w:szCs w:val="24"/>
        </w:rPr>
        <w:t>J. M. Smucker Company, also known as Smucker and Smucker's</w:t>
      </w:r>
      <w:r w:rsidRPr="00E52629">
        <w:rPr>
          <w:rFonts w:ascii="Times New Roman" w:hAnsi="Times New Roman" w:cs="Times New Roman"/>
          <w:sz w:val="24"/>
          <w:szCs w:val="24"/>
        </w:rPr>
        <w:t>)</w:t>
      </w:r>
      <w:r>
        <w:rPr>
          <w:rFonts w:ascii="Times New Roman" w:hAnsi="Times New Roman" w:cs="Times New Roman"/>
          <w:sz w:val="24"/>
          <w:szCs w:val="24"/>
        </w:rPr>
        <w:t>, it is a food and beverage company and the sector it belongs to is 30 (</w:t>
      </w:r>
      <w:r w:rsidRPr="00E52629">
        <w:rPr>
          <w:rFonts w:ascii="Times New Roman" w:hAnsi="Times New Roman" w:cs="Times New Roman"/>
          <w:sz w:val="24"/>
          <w:szCs w:val="24"/>
        </w:rPr>
        <w:t>Consumer Staples</w:t>
      </w:r>
      <w:r w:rsidRPr="00E52629">
        <w:rPr>
          <w:rFonts w:ascii="Times New Roman" w:hAnsi="Times New Roman" w:cs="Times New Roman"/>
          <w:sz w:val="24"/>
          <w:szCs w:val="24"/>
        </w:rPr>
        <w:t>)</w:t>
      </w:r>
      <w:r>
        <w:rPr>
          <w:rFonts w:ascii="Times New Roman" w:hAnsi="Times New Roman" w:cs="Times New Roman"/>
          <w:sz w:val="24"/>
          <w:szCs w:val="24"/>
        </w:rPr>
        <w:t xml:space="preserve">. Filtering by the sector reduces the number of observations to </w:t>
      </w:r>
      <w:r w:rsidRPr="00D5030A">
        <w:rPr>
          <w:rFonts w:ascii="Times New Roman" w:hAnsi="Times New Roman" w:cs="Times New Roman"/>
          <w:sz w:val="24"/>
          <w:szCs w:val="24"/>
        </w:rPr>
        <w:t>2323</w:t>
      </w:r>
      <w:r w:rsidR="00D5030A">
        <w:rPr>
          <w:rFonts w:ascii="Times New Roman" w:hAnsi="Times New Roman" w:cs="Times New Roman"/>
          <w:sz w:val="24"/>
          <w:szCs w:val="24"/>
        </w:rPr>
        <w:t>.</w:t>
      </w:r>
    </w:p>
    <w:p w14:paraId="12616442" w14:textId="3D4FED53" w:rsidR="00D5030A" w:rsidRDefault="00D5030A" w:rsidP="00E52629">
      <w:pPr>
        <w:pStyle w:val="HTMLPreformatted"/>
        <w:shd w:val="clear" w:color="auto" w:fill="FFFFFF"/>
        <w:rPr>
          <w:rFonts w:ascii="Times New Roman" w:hAnsi="Times New Roman" w:cs="Times New Roman"/>
          <w:sz w:val="24"/>
          <w:szCs w:val="24"/>
        </w:rPr>
      </w:pPr>
    </w:p>
    <w:p w14:paraId="3E506F94" w14:textId="62FD9A56" w:rsidR="00D5030A" w:rsidRDefault="00D5030A" w:rsidP="00D5030A">
      <w:pPr>
        <w:pStyle w:val="Heading2"/>
      </w:pPr>
      <w:r>
        <w:t xml:space="preserve">Data preparation </w:t>
      </w:r>
    </w:p>
    <w:p w14:paraId="3616D12D" w14:textId="5FC2E381" w:rsidR="00D5030A" w:rsidRDefault="00D5030A" w:rsidP="00D5030A">
      <w:pPr>
        <w:pStyle w:val="ListParagraph"/>
        <w:numPr>
          <w:ilvl w:val="0"/>
          <w:numId w:val="1"/>
        </w:numPr>
      </w:pPr>
      <w:r>
        <w:t xml:space="preserve">Filtered dataset with annual statement only and then added variables related to restatement to each of the annual statements, the restatement variables include whether there was restatement and by what magnitude the restatement was for. </w:t>
      </w:r>
    </w:p>
    <w:p w14:paraId="775CFFB5" w14:textId="4BD3D8C1" w:rsidR="00D5030A" w:rsidRDefault="00D5030A" w:rsidP="00D5030A">
      <w:pPr>
        <w:pStyle w:val="ListParagraph"/>
        <w:numPr>
          <w:ilvl w:val="0"/>
          <w:numId w:val="1"/>
        </w:numPr>
      </w:pPr>
      <w:r>
        <w:t xml:space="preserve">Following attributes </w:t>
      </w:r>
      <w:r w:rsidR="00AC63B5">
        <w:t xml:space="preserve">in below mentioned </w:t>
      </w:r>
      <w:r>
        <w:t>were restated</w:t>
      </w:r>
      <w:r w:rsidR="00424723">
        <w:t xml:space="preserve"> as mentioned in below table. The way variables were identified was first dataset with restatement</w:t>
      </w:r>
      <w:r w:rsidR="00AC63B5">
        <w:t>s</w:t>
      </w:r>
      <w:r w:rsidR="00424723">
        <w:t xml:space="preserve"> only was created and then applied the logic for removing NA columns with threshold of 10-20%</w:t>
      </w:r>
    </w:p>
    <w:tbl>
      <w:tblPr>
        <w:tblW w:w="7074" w:type="dxa"/>
        <w:tblInd w:w="1145" w:type="dxa"/>
        <w:tblLook w:val="04A0" w:firstRow="1" w:lastRow="0" w:firstColumn="1" w:lastColumn="0" w:noHBand="0" w:noVBand="1"/>
      </w:tblPr>
      <w:tblGrid>
        <w:gridCol w:w="974"/>
        <w:gridCol w:w="6100"/>
      </w:tblGrid>
      <w:tr w:rsidR="00424723" w:rsidRPr="00424723" w14:paraId="115FBFC8" w14:textId="77777777" w:rsidTr="00424723">
        <w:trPr>
          <w:trHeight w:val="288"/>
        </w:trPr>
        <w:tc>
          <w:tcPr>
            <w:tcW w:w="974" w:type="dxa"/>
            <w:tcBorders>
              <w:top w:val="nil"/>
              <w:left w:val="nil"/>
              <w:bottom w:val="nil"/>
              <w:right w:val="nil"/>
            </w:tcBorders>
            <w:shd w:val="clear" w:color="000000" w:fill="4472C4"/>
            <w:noWrap/>
            <w:vAlign w:val="bottom"/>
            <w:hideMark/>
          </w:tcPr>
          <w:p w14:paraId="0366E843" w14:textId="77777777" w:rsidR="00424723" w:rsidRPr="00424723" w:rsidRDefault="00424723" w:rsidP="00424723">
            <w:pPr>
              <w:spacing w:after="0" w:line="240" w:lineRule="auto"/>
              <w:rPr>
                <w:rFonts w:ascii="Times New Roman" w:eastAsia="Times New Roman" w:hAnsi="Times New Roman" w:cs="Times New Roman"/>
                <w:color w:val="FFFFFF"/>
              </w:rPr>
            </w:pPr>
            <w:r w:rsidRPr="00424723">
              <w:rPr>
                <w:rFonts w:ascii="Times New Roman" w:eastAsia="Times New Roman" w:hAnsi="Times New Roman" w:cs="Times New Roman"/>
                <w:color w:val="FFFFFF"/>
              </w:rPr>
              <w:lastRenderedPageBreak/>
              <w:t>Variable</w:t>
            </w:r>
          </w:p>
        </w:tc>
        <w:tc>
          <w:tcPr>
            <w:tcW w:w="6100" w:type="dxa"/>
            <w:tcBorders>
              <w:top w:val="nil"/>
              <w:left w:val="nil"/>
              <w:bottom w:val="nil"/>
              <w:right w:val="nil"/>
            </w:tcBorders>
            <w:shd w:val="clear" w:color="000000" w:fill="4472C4"/>
            <w:noWrap/>
            <w:vAlign w:val="bottom"/>
            <w:hideMark/>
          </w:tcPr>
          <w:p w14:paraId="1DE911E2" w14:textId="77777777" w:rsidR="00424723" w:rsidRPr="00424723" w:rsidRDefault="00424723" w:rsidP="00424723">
            <w:pPr>
              <w:spacing w:after="0" w:line="240" w:lineRule="auto"/>
              <w:rPr>
                <w:rFonts w:ascii="Times New Roman" w:eastAsia="Times New Roman" w:hAnsi="Times New Roman" w:cs="Times New Roman"/>
                <w:color w:val="FFFFFF"/>
              </w:rPr>
            </w:pPr>
            <w:r w:rsidRPr="00424723">
              <w:rPr>
                <w:rFonts w:ascii="Times New Roman" w:eastAsia="Times New Roman" w:hAnsi="Times New Roman" w:cs="Times New Roman"/>
                <w:color w:val="FFFFFF"/>
              </w:rPr>
              <w:t>Description</w:t>
            </w:r>
          </w:p>
        </w:tc>
      </w:tr>
      <w:tr w:rsidR="00424723" w:rsidRPr="00424723" w14:paraId="32B097BC" w14:textId="77777777" w:rsidTr="00424723">
        <w:trPr>
          <w:trHeight w:val="288"/>
        </w:trPr>
        <w:tc>
          <w:tcPr>
            <w:tcW w:w="974"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14D035F"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at</w:t>
            </w:r>
          </w:p>
        </w:tc>
        <w:tc>
          <w:tcPr>
            <w:tcW w:w="6100" w:type="dxa"/>
            <w:tcBorders>
              <w:top w:val="single" w:sz="4" w:space="0" w:color="000000"/>
              <w:left w:val="nil"/>
              <w:bottom w:val="single" w:sz="4" w:space="0" w:color="000000"/>
              <w:right w:val="single" w:sz="4" w:space="0" w:color="000000"/>
            </w:tcBorders>
            <w:shd w:val="clear" w:color="000000" w:fill="FFFFFF"/>
            <w:vAlign w:val="center"/>
            <w:hideMark/>
          </w:tcPr>
          <w:p w14:paraId="22871154"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Assets - Total</w:t>
            </w:r>
          </w:p>
        </w:tc>
      </w:tr>
      <w:tr w:rsidR="00424723" w:rsidRPr="00424723" w14:paraId="4D34E72B"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3BB9E76E"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capx</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65F04285"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Capital Expenditures</w:t>
            </w:r>
          </w:p>
        </w:tc>
      </w:tr>
      <w:tr w:rsidR="00424723" w:rsidRPr="00424723" w14:paraId="541F0A8C"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01954A52"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cogs</w:t>
            </w:r>
          </w:p>
        </w:tc>
        <w:tc>
          <w:tcPr>
            <w:tcW w:w="6100" w:type="dxa"/>
            <w:tcBorders>
              <w:top w:val="nil"/>
              <w:left w:val="nil"/>
              <w:bottom w:val="single" w:sz="4" w:space="0" w:color="000000"/>
              <w:right w:val="single" w:sz="4" w:space="0" w:color="000000"/>
            </w:tcBorders>
            <w:shd w:val="clear" w:color="000000" w:fill="FFFFFF"/>
            <w:vAlign w:val="center"/>
            <w:hideMark/>
          </w:tcPr>
          <w:p w14:paraId="5750DC44"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Cost of Goods Sold</w:t>
            </w:r>
          </w:p>
        </w:tc>
      </w:tr>
      <w:tr w:rsidR="00424723" w:rsidRPr="00424723" w14:paraId="3CA293BA"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45E48D1A"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dltt</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6C05FC07"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Long-Term Debt - Total</w:t>
            </w:r>
          </w:p>
        </w:tc>
      </w:tr>
      <w:tr w:rsidR="00424723" w:rsidRPr="00424723" w14:paraId="092371C0"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440A11B9"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epsfi</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5156C72A"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Earnings Per Share (Diluted) - Including Extraordinary Items</w:t>
            </w:r>
          </w:p>
        </w:tc>
      </w:tr>
      <w:tr w:rsidR="00424723" w:rsidRPr="00424723" w14:paraId="0C9BD88E"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2FCF7DE9"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epspi</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461E1F19"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Earnings Per Share (Basic) - Including Extraordinary Items</w:t>
            </w:r>
          </w:p>
        </w:tc>
      </w:tr>
      <w:tr w:rsidR="00424723" w:rsidRPr="00424723" w14:paraId="1822CE16"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51CF643A"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ib</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1C44D818"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Income Before Extraordinary Items</w:t>
            </w:r>
          </w:p>
        </w:tc>
      </w:tr>
      <w:tr w:rsidR="00424723" w:rsidRPr="00424723" w14:paraId="38B17B58"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0A48F2C5"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ni</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2B961BB3"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Net Income (Loss)</w:t>
            </w:r>
          </w:p>
        </w:tc>
      </w:tr>
      <w:tr w:rsidR="00424723" w:rsidRPr="00424723" w14:paraId="034DE585"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0BD5A63B"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nopi</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1E56CEF2"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Nonoperating Income (Expense)</w:t>
            </w:r>
          </w:p>
        </w:tc>
      </w:tr>
      <w:tr w:rsidR="00424723" w:rsidRPr="00424723" w14:paraId="4E9156D9"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5E6ADD5B"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pi</w:t>
            </w:r>
          </w:p>
        </w:tc>
        <w:tc>
          <w:tcPr>
            <w:tcW w:w="6100" w:type="dxa"/>
            <w:tcBorders>
              <w:top w:val="nil"/>
              <w:left w:val="nil"/>
              <w:bottom w:val="single" w:sz="4" w:space="0" w:color="000000"/>
              <w:right w:val="single" w:sz="4" w:space="0" w:color="000000"/>
            </w:tcBorders>
            <w:shd w:val="clear" w:color="000000" w:fill="FFFFFF"/>
            <w:vAlign w:val="center"/>
            <w:hideMark/>
          </w:tcPr>
          <w:p w14:paraId="44BAD52F"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Pretax Income</w:t>
            </w:r>
          </w:p>
        </w:tc>
      </w:tr>
      <w:tr w:rsidR="00424723" w:rsidRPr="00424723" w14:paraId="5EDF36FE"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38BD9674"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reuna</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5C41AEE4"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Retained Earnings - Unadjusted</w:t>
            </w:r>
          </w:p>
        </w:tc>
      </w:tr>
      <w:tr w:rsidR="00424723" w:rsidRPr="00424723" w14:paraId="53B49F01"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344DAA22"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seq</w:t>
            </w:r>
          </w:p>
        </w:tc>
        <w:tc>
          <w:tcPr>
            <w:tcW w:w="6100" w:type="dxa"/>
            <w:tcBorders>
              <w:top w:val="nil"/>
              <w:left w:val="nil"/>
              <w:bottom w:val="single" w:sz="4" w:space="0" w:color="000000"/>
              <w:right w:val="single" w:sz="4" w:space="0" w:color="000000"/>
            </w:tcBorders>
            <w:shd w:val="clear" w:color="000000" w:fill="FFFFFF"/>
            <w:vAlign w:val="center"/>
            <w:hideMark/>
          </w:tcPr>
          <w:p w14:paraId="2284977F"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Stockholders Equity - Parent</w:t>
            </w:r>
          </w:p>
        </w:tc>
      </w:tr>
      <w:tr w:rsidR="00424723" w:rsidRPr="00424723" w14:paraId="7F28EB5F"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5344C839"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teq</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10C20AE7"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Stockholders Equity - Total</w:t>
            </w:r>
          </w:p>
        </w:tc>
      </w:tr>
      <w:tr w:rsidR="00424723" w:rsidRPr="00424723" w14:paraId="477D3EBF"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5FDAA933"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txt</w:t>
            </w:r>
          </w:p>
        </w:tc>
        <w:tc>
          <w:tcPr>
            <w:tcW w:w="6100" w:type="dxa"/>
            <w:tcBorders>
              <w:top w:val="nil"/>
              <w:left w:val="nil"/>
              <w:bottom w:val="single" w:sz="4" w:space="0" w:color="000000"/>
              <w:right w:val="single" w:sz="4" w:space="0" w:color="000000"/>
            </w:tcBorders>
            <w:shd w:val="clear" w:color="000000" w:fill="FFFFFF"/>
            <w:vAlign w:val="center"/>
            <w:hideMark/>
          </w:tcPr>
          <w:p w14:paraId="6299F5F2"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Income Taxes - Total</w:t>
            </w:r>
          </w:p>
        </w:tc>
      </w:tr>
      <w:tr w:rsidR="00424723" w:rsidRPr="00424723" w14:paraId="610263F3"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2ADD0C91"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wcap</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7D37CEB8"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Working Capital (Balance Sheet)</w:t>
            </w:r>
          </w:p>
        </w:tc>
      </w:tr>
      <w:tr w:rsidR="00424723" w:rsidRPr="00424723" w14:paraId="502FC4F0" w14:textId="77777777" w:rsidTr="00424723">
        <w:trPr>
          <w:trHeight w:val="288"/>
        </w:trPr>
        <w:tc>
          <w:tcPr>
            <w:tcW w:w="974" w:type="dxa"/>
            <w:tcBorders>
              <w:top w:val="nil"/>
              <w:left w:val="single" w:sz="4" w:space="0" w:color="000000"/>
              <w:bottom w:val="single" w:sz="4" w:space="0" w:color="000000"/>
              <w:right w:val="single" w:sz="4" w:space="0" w:color="000000"/>
            </w:tcBorders>
            <w:shd w:val="clear" w:color="000000" w:fill="FFFFFF"/>
            <w:vAlign w:val="center"/>
            <w:hideMark/>
          </w:tcPr>
          <w:p w14:paraId="33C14BE7" w14:textId="77777777" w:rsidR="00424723" w:rsidRPr="00424723" w:rsidRDefault="00424723" w:rsidP="00424723">
            <w:pPr>
              <w:spacing w:after="0" w:line="240" w:lineRule="auto"/>
              <w:rPr>
                <w:rFonts w:ascii="Times New Roman" w:eastAsia="Times New Roman" w:hAnsi="Times New Roman" w:cs="Times New Roman"/>
                <w:color w:val="000000"/>
              </w:rPr>
            </w:pPr>
            <w:proofErr w:type="spellStart"/>
            <w:r w:rsidRPr="00424723">
              <w:rPr>
                <w:rFonts w:ascii="Times New Roman" w:eastAsia="Times New Roman" w:hAnsi="Times New Roman" w:cs="Times New Roman"/>
                <w:color w:val="000000"/>
              </w:rPr>
              <w:t>xint</w:t>
            </w:r>
            <w:proofErr w:type="spellEnd"/>
          </w:p>
        </w:tc>
        <w:tc>
          <w:tcPr>
            <w:tcW w:w="6100" w:type="dxa"/>
            <w:tcBorders>
              <w:top w:val="nil"/>
              <w:left w:val="nil"/>
              <w:bottom w:val="single" w:sz="4" w:space="0" w:color="000000"/>
              <w:right w:val="single" w:sz="4" w:space="0" w:color="000000"/>
            </w:tcBorders>
            <w:shd w:val="clear" w:color="000000" w:fill="FFFFFF"/>
            <w:vAlign w:val="center"/>
            <w:hideMark/>
          </w:tcPr>
          <w:p w14:paraId="1989A29B" w14:textId="77777777" w:rsidR="00424723" w:rsidRPr="00424723" w:rsidRDefault="00424723" w:rsidP="00424723">
            <w:pPr>
              <w:spacing w:after="0" w:line="240" w:lineRule="auto"/>
              <w:rPr>
                <w:rFonts w:ascii="Times New Roman" w:eastAsia="Times New Roman" w:hAnsi="Times New Roman" w:cs="Times New Roman"/>
                <w:color w:val="000000"/>
              </w:rPr>
            </w:pPr>
            <w:r w:rsidRPr="00424723">
              <w:rPr>
                <w:rFonts w:ascii="Times New Roman" w:eastAsia="Times New Roman" w:hAnsi="Times New Roman" w:cs="Times New Roman"/>
                <w:color w:val="000000"/>
              </w:rPr>
              <w:t>Interest and Related Expense - Total</w:t>
            </w:r>
          </w:p>
        </w:tc>
      </w:tr>
    </w:tbl>
    <w:p w14:paraId="353C3CA9" w14:textId="77777777" w:rsidR="00424723" w:rsidRPr="00D5030A" w:rsidRDefault="00424723" w:rsidP="00424723">
      <w:pPr>
        <w:pStyle w:val="ListParagraph"/>
      </w:pPr>
    </w:p>
    <w:p w14:paraId="7C1D4F07" w14:textId="0C9A26E7" w:rsidR="00E52629" w:rsidRDefault="00E52629" w:rsidP="003069FC">
      <w:pPr>
        <w:pStyle w:val="ListParagraph"/>
        <w:numPr>
          <w:ilvl w:val="0"/>
          <w:numId w:val="1"/>
        </w:numPr>
        <w:rPr>
          <w:rFonts w:ascii="Times New Roman" w:hAnsi="Times New Roman" w:cs="Times New Roman"/>
          <w:sz w:val="24"/>
          <w:szCs w:val="24"/>
        </w:rPr>
      </w:pPr>
      <w:r w:rsidRPr="00E52629">
        <w:rPr>
          <w:rFonts w:ascii="Times New Roman" w:hAnsi="Times New Roman" w:cs="Times New Roman"/>
          <w:sz w:val="24"/>
          <w:szCs w:val="24"/>
        </w:rPr>
        <w:t xml:space="preserve"> </w:t>
      </w:r>
      <w:r w:rsidR="003069FC">
        <w:rPr>
          <w:rFonts w:ascii="Times New Roman" w:hAnsi="Times New Roman" w:cs="Times New Roman"/>
          <w:sz w:val="24"/>
          <w:szCs w:val="24"/>
        </w:rPr>
        <w:t xml:space="preserve">Post identifying the restatement variables and associated magnitude merged these variables with annual statement dataset. </w:t>
      </w:r>
    </w:p>
    <w:p w14:paraId="10D31DD3" w14:textId="2387EC9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analysis dataset contains annual statement variables as well as the restatement ones.</w:t>
      </w:r>
    </w:p>
    <w:p w14:paraId="308D3AFF" w14:textId="1804946E"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dataset still contains multiple rows for single company. So, the data set was aggregated based on </w:t>
      </w:r>
      <w:proofErr w:type="spellStart"/>
      <w:r>
        <w:rPr>
          <w:rFonts w:ascii="Times New Roman" w:hAnsi="Times New Roman" w:cs="Times New Roman"/>
          <w:sz w:val="24"/>
          <w:szCs w:val="24"/>
        </w:rPr>
        <w:t>gv</w:t>
      </w:r>
      <w:proofErr w:type="spellEnd"/>
      <w:r>
        <w:rPr>
          <w:rFonts w:ascii="Times New Roman" w:hAnsi="Times New Roman" w:cs="Times New Roman"/>
          <w:sz w:val="24"/>
          <w:szCs w:val="24"/>
        </w:rPr>
        <w:t xml:space="preserve">-key and ticket symbol for the company. Aggregation was mean/average based.  </w:t>
      </w:r>
    </w:p>
    <w:p w14:paraId="02BF0B0B" w14:textId="786BE33B" w:rsidR="001B5559" w:rsidRDefault="001B5559"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merging restatement variables were again analyzed, due to aggregation and if the aggerated value was greater than 0.5 then they were marked as restated or else not.</w:t>
      </w:r>
    </w:p>
    <w:p w14:paraId="5DF9505C" w14:textId="32018DEB" w:rsidR="001B5559" w:rsidRDefault="000642F2" w:rsidP="00306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Stocks dataset then was merged with main dataset, from this </w:t>
      </w:r>
      <w:r w:rsidR="00623DF8">
        <w:rPr>
          <w:rFonts w:ascii="Times New Roman" w:hAnsi="Times New Roman" w:cs="Times New Roman"/>
          <w:sz w:val="24"/>
          <w:szCs w:val="24"/>
        </w:rPr>
        <w:t>dataset only</w:t>
      </w:r>
      <w:r>
        <w:rPr>
          <w:rFonts w:ascii="Times New Roman" w:hAnsi="Times New Roman" w:cs="Times New Roman"/>
          <w:sz w:val="24"/>
          <w:szCs w:val="24"/>
        </w:rPr>
        <w:t xml:space="preserve"> certain analysis specific variables were picked which include </w:t>
      </w:r>
      <w:r w:rsidR="00623DF8">
        <w:rPr>
          <w:rFonts w:ascii="Times New Roman" w:hAnsi="Times New Roman" w:cs="Times New Roman"/>
          <w:sz w:val="24"/>
          <w:szCs w:val="24"/>
        </w:rPr>
        <w:t>as shown in below table</w:t>
      </w:r>
    </w:p>
    <w:tbl>
      <w:tblPr>
        <w:tblW w:w="7074" w:type="dxa"/>
        <w:tblInd w:w="1133" w:type="dxa"/>
        <w:tblLook w:val="04A0" w:firstRow="1" w:lastRow="0" w:firstColumn="1" w:lastColumn="0" w:noHBand="0" w:noVBand="1"/>
      </w:tblPr>
      <w:tblGrid>
        <w:gridCol w:w="974"/>
        <w:gridCol w:w="6100"/>
      </w:tblGrid>
      <w:tr w:rsidR="000642F2" w:rsidRPr="000642F2" w14:paraId="1533A45A" w14:textId="77777777" w:rsidTr="000642F2">
        <w:trPr>
          <w:trHeight w:val="288"/>
        </w:trPr>
        <w:tc>
          <w:tcPr>
            <w:tcW w:w="9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D180E1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2EE152D6" w14:textId="77777777" w:rsidR="000642F2" w:rsidRPr="000642F2" w:rsidRDefault="000642F2" w:rsidP="000642F2">
            <w:pPr>
              <w:spacing w:after="0" w:line="240" w:lineRule="auto"/>
              <w:rPr>
                <w:rFonts w:ascii="Times New Roman" w:eastAsia="Times New Roman" w:hAnsi="Times New Roman" w:cs="Times New Roman"/>
                <w:color w:val="FFFFFF"/>
              </w:rPr>
            </w:pPr>
            <w:r w:rsidRPr="000642F2">
              <w:rPr>
                <w:rFonts w:ascii="Times New Roman" w:eastAsia="Times New Roman" w:hAnsi="Times New Roman" w:cs="Times New Roman"/>
                <w:color w:val="FFFFFF"/>
              </w:rPr>
              <w:t>Description</w:t>
            </w:r>
          </w:p>
        </w:tc>
      </w:tr>
      <w:tr w:rsidR="000642F2" w:rsidRPr="000642F2" w14:paraId="554B20F3"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7934C48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prccd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864FD02"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Close - Daily</w:t>
            </w:r>
          </w:p>
        </w:tc>
      </w:tr>
      <w:tr w:rsidR="000642F2" w:rsidRPr="000642F2" w14:paraId="30BFEA5E"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E3BE16B"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prchd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A43A93B"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High - Daily</w:t>
            </w:r>
          </w:p>
        </w:tc>
      </w:tr>
      <w:tr w:rsidR="000642F2" w:rsidRPr="000642F2" w14:paraId="7256C425"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4D8ED8E3"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prcld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7C2353E7"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Low - Daily</w:t>
            </w:r>
          </w:p>
        </w:tc>
      </w:tr>
      <w:tr w:rsidR="000642F2" w:rsidRPr="000642F2" w14:paraId="7A1BEE38"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5AFA9C5"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prcod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3F109474"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Price - Open - Daily</w:t>
            </w:r>
          </w:p>
        </w:tc>
      </w:tr>
      <w:tr w:rsidR="000642F2" w:rsidRPr="000642F2" w14:paraId="4AF2F351"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C8ED082"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trfd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E1CFF0"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Daily Total Return Factor</w:t>
            </w:r>
          </w:p>
        </w:tc>
      </w:tr>
      <w:tr w:rsidR="000642F2" w:rsidRPr="000642F2" w14:paraId="6E5CEA84" w14:textId="77777777" w:rsidTr="000642F2">
        <w:trPr>
          <w:trHeight w:val="288"/>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656D4F0D" w14:textId="77777777" w:rsidR="000642F2" w:rsidRPr="000642F2" w:rsidRDefault="000642F2" w:rsidP="000642F2">
            <w:pPr>
              <w:spacing w:after="0" w:line="240" w:lineRule="auto"/>
              <w:rPr>
                <w:rFonts w:ascii="Times New Roman" w:eastAsia="Times New Roman" w:hAnsi="Times New Roman" w:cs="Times New Roman"/>
                <w:color w:val="000000"/>
              </w:rPr>
            </w:pPr>
            <w:proofErr w:type="spellStart"/>
            <w:r w:rsidRPr="000642F2">
              <w:rPr>
                <w:rFonts w:ascii="Times New Roman" w:eastAsia="Times New Roman" w:hAnsi="Times New Roman" w:cs="Times New Roman"/>
                <w:color w:val="000000"/>
              </w:rPr>
              <w:t>cshtrd</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D7EA3C1" w14:textId="77777777" w:rsidR="000642F2" w:rsidRPr="000642F2" w:rsidRDefault="000642F2" w:rsidP="000642F2">
            <w:pPr>
              <w:spacing w:after="0" w:line="240" w:lineRule="auto"/>
              <w:rPr>
                <w:rFonts w:ascii="Times New Roman" w:eastAsia="Times New Roman" w:hAnsi="Times New Roman" w:cs="Times New Roman"/>
                <w:color w:val="000000"/>
              </w:rPr>
            </w:pPr>
            <w:r w:rsidRPr="000642F2">
              <w:rPr>
                <w:rFonts w:ascii="Times New Roman" w:eastAsia="Times New Roman" w:hAnsi="Times New Roman" w:cs="Times New Roman"/>
                <w:color w:val="000000"/>
              </w:rPr>
              <w:t>Trading Volume - Daily</w:t>
            </w:r>
          </w:p>
        </w:tc>
      </w:tr>
    </w:tbl>
    <w:p w14:paraId="4783F1B9" w14:textId="77777777" w:rsidR="00FF5642" w:rsidRDefault="00FF5642" w:rsidP="00FF5642">
      <w:pPr>
        <w:pStyle w:val="ListParagraph"/>
        <w:rPr>
          <w:rFonts w:ascii="Times New Roman" w:hAnsi="Times New Roman" w:cs="Times New Roman"/>
          <w:sz w:val="24"/>
          <w:szCs w:val="24"/>
        </w:rPr>
      </w:pPr>
    </w:p>
    <w:p w14:paraId="169F559C" w14:textId="7D330DB1" w:rsidR="00B0022A" w:rsidRDefault="00FF5642" w:rsidP="00FF5642">
      <w:pPr>
        <w:pStyle w:val="ListParagraph"/>
        <w:numPr>
          <w:ilvl w:val="0"/>
          <w:numId w:val="1"/>
        </w:numPr>
        <w:rPr>
          <w:rFonts w:ascii="Times New Roman" w:hAnsi="Times New Roman" w:cs="Times New Roman"/>
          <w:sz w:val="24"/>
          <w:szCs w:val="24"/>
        </w:rPr>
      </w:pPr>
      <w:r w:rsidRPr="00FF5642">
        <w:rPr>
          <w:rFonts w:ascii="Times New Roman" w:hAnsi="Times New Roman" w:cs="Times New Roman"/>
          <w:sz w:val="24"/>
          <w:szCs w:val="24"/>
        </w:rPr>
        <w:t>These stocks variables were aggregated and the</w:t>
      </w:r>
      <w:r>
        <w:rPr>
          <w:rFonts w:ascii="Times New Roman" w:hAnsi="Times New Roman" w:cs="Times New Roman"/>
          <w:sz w:val="24"/>
          <w:szCs w:val="24"/>
        </w:rPr>
        <w:t>n</w:t>
      </w:r>
      <w:r w:rsidRPr="00FF5642">
        <w:rPr>
          <w:rFonts w:ascii="Times New Roman" w:hAnsi="Times New Roman" w:cs="Times New Roman"/>
          <w:sz w:val="24"/>
          <w:szCs w:val="24"/>
        </w:rPr>
        <w:t xml:space="preserve"> merged with main analysis dataset.</w:t>
      </w:r>
    </w:p>
    <w:p w14:paraId="2AA13072" w14:textId="5C225706" w:rsidR="00FF5642" w:rsidRDefault="00FF5642"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Securities dataset was then merged with main dataset, from this only 2 variables were chosen </w:t>
      </w:r>
      <w:r w:rsidRPr="00FF5642">
        <w:rPr>
          <w:rFonts w:ascii="Times New Roman" w:hAnsi="Times New Roman" w:cs="Times New Roman"/>
          <w:i/>
          <w:iCs/>
          <w:sz w:val="24"/>
          <w:szCs w:val="24"/>
        </w:rPr>
        <w:t>Monthly Total Return Factor</w:t>
      </w:r>
      <w:r>
        <w:rPr>
          <w:rFonts w:ascii="Times New Roman" w:hAnsi="Times New Roman" w:cs="Times New Roman"/>
          <w:sz w:val="24"/>
          <w:szCs w:val="24"/>
        </w:rPr>
        <w:t xml:space="preserve"> and </w:t>
      </w:r>
      <w:r w:rsidRPr="00FF5642">
        <w:rPr>
          <w:rFonts w:ascii="Times New Roman" w:hAnsi="Times New Roman" w:cs="Times New Roman"/>
          <w:i/>
          <w:iCs/>
          <w:sz w:val="24"/>
          <w:szCs w:val="24"/>
        </w:rPr>
        <w:t xml:space="preserve">Dividend Rate </w:t>
      </w:r>
      <w:r w:rsidRPr="00FF5642">
        <w:rPr>
          <w:rFonts w:ascii="Times New Roman" w:hAnsi="Times New Roman" w:cs="Times New Roman"/>
          <w:i/>
          <w:iCs/>
          <w:sz w:val="24"/>
          <w:szCs w:val="24"/>
        </w:rPr>
        <w:t>–</w:t>
      </w:r>
      <w:r w:rsidRPr="00FF5642">
        <w:rPr>
          <w:rFonts w:ascii="Times New Roman" w:hAnsi="Times New Roman" w:cs="Times New Roman"/>
          <w:i/>
          <w:iCs/>
          <w:sz w:val="24"/>
          <w:szCs w:val="24"/>
        </w:rPr>
        <w:t xml:space="preserve"> Monthly</w:t>
      </w:r>
      <w:r>
        <w:rPr>
          <w:rFonts w:ascii="Times New Roman" w:hAnsi="Times New Roman" w:cs="Times New Roman"/>
          <w:sz w:val="24"/>
          <w:szCs w:val="24"/>
        </w:rPr>
        <w:t>.</w:t>
      </w:r>
    </w:p>
    <w:p w14:paraId="6E01F509" w14:textId="74983493" w:rsidR="00FF5642" w:rsidRDefault="0096476A" w:rsidP="00FF5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Post securities dataset</w:t>
      </w:r>
      <w:r w:rsidR="00EA4F13">
        <w:rPr>
          <w:rFonts w:ascii="Times New Roman" w:hAnsi="Times New Roman" w:cs="Times New Roman"/>
          <w:sz w:val="24"/>
          <w:szCs w:val="24"/>
        </w:rPr>
        <w:t xml:space="preserve">, ratings dataset weas merged with main analysis dataset. Prior merging the dataset additional variable with numeric values was created in rating dataset, </w:t>
      </w:r>
      <w:r w:rsidR="00EA4F13">
        <w:rPr>
          <w:rFonts w:ascii="Times New Roman" w:hAnsi="Times New Roman" w:cs="Times New Roman"/>
          <w:sz w:val="24"/>
          <w:szCs w:val="24"/>
        </w:rPr>
        <w:lastRenderedPageBreak/>
        <w:t xml:space="preserve">these numeric values are in decreasing order e.g. AAA = 100, BBB = 60 and finally not rated was given 0 value. While merging the rating dataset with main dataset </w:t>
      </w:r>
      <w:r>
        <w:rPr>
          <w:rFonts w:ascii="Times New Roman" w:hAnsi="Times New Roman" w:cs="Times New Roman"/>
          <w:sz w:val="24"/>
          <w:szCs w:val="24"/>
        </w:rPr>
        <w:t xml:space="preserve">additional variable was added indicating whether the rating has increased, </w:t>
      </w:r>
      <w:r w:rsidR="006E22E3">
        <w:rPr>
          <w:rFonts w:ascii="Times New Roman" w:hAnsi="Times New Roman" w:cs="Times New Roman"/>
          <w:sz w:val="24"/>
          <w:szCs w:val="24"/>
        </w:rPr>
        <w:t>decreased,</w:t>
      </w:r>
      <w:r>
        <w:rPr>
          <w:rFonts w:ascii="Times New Roman" w:hAnsi="Times New Roman" w:cs="Times New Roman"/>
          <w:sz w:val="24"/>
          <w:szCs w:val="24"/>
        </w:rPr>
        <w:t xml:space="preserve"> or not changed, if none of these 3 then it was indicated as not rated.  </w:t>
      </w:r>
      <w:r w:rsidR="00EA4F13">
        <w:rPr>
          <w:rFonts w:ascii="Times New Roman" w:hAnsi="Times New Roman" w:cs="Times New Roman"/>
          <w:sz w:val="24"/>
          <w:szCs w:val="24"/>
        </w:rPr>
        <w:t xml:space="preserve"> </w:t>
      </w:r>
    </w:p>
    <w:p w14:paraId="4A617D93" w14:textId="1AEE899E" w:rsidR="0096476A" w:rsidRDefault="0096476A" w:rsidP="007E4495">
      <w:pPr>
        <w:pStyle w:val="ListParagraph"/>
        <w:numPr>
          <w:ilvl w:val="0"/>
          <w:numId w:val="1"/>
        </w:numPr>
        <w:rPr>
          <w:rFonts w:ascii="Times New Roman" w:hAnsi="Times New Roman" w:cs="Times New Roman"/>
          <w:sz w:val="24"/>
          <w:szCs w:val="24"/>
        </w:rPr>
      </w:pPr>
      <w:r w:rsidRPr="006E22E3">
        <w:rPr>
          <w:rFonts w:ascii="Times New Roman" w:hAnsi="Times New Roman" w:cs="Times New Roman"/>
          <w:sz w:val="24"/>
          <w:szCs w:val="24"/>
        </w:rPr>
        <w:t xml:space="preserve">Finally target variables related dataset of SCA filings was loaded, </w:t>
      </w:r>
      <w:r w:rsidR="006E22E3" w:rsidRPr="006E22E3">
        <w:rPr>
          <w:rFonts w:ascii="Times New Roman" w:hAnsi="Times New Roman" w:cs="Times New Roman"/>
          <w:sz w:val="24"/>
          <w:szCs w:val="24"/>
        </w:rPr>
        <w:t>in this case a</w:t>
      </w:r>
      <w:r w:rsidR="006E22E3" w:rsidRPr="006E22E3">
        <w:rPr>
          <w:rFonts w:ascii="Times New Roman" w:hAnsi="Times New Roman" w:cs="Times New Roman"/>
          <w:sz w:val="24"/>
          <w:szCs w:val="24"/>
        </w:rPr>
        <w:t>dd</w:t>
      </w:r>
      <w:r w:rsidR="006E22E3" w:rsidRPr="006E22E3">
        <w:rPr>
          <w:rFonts w:ascii="Times New Roman" w:hAnsi="Times New Roman" w:cs="Times New Roman"/>
          <w:sz w:val="24"/>
          <w:szCs w:val="24"/>
        </w:rPr>
        <w:t>ed</w:t>
      </w:r>
      <w:r w:rsidR="006E22E3" w:rsidRPr="006E22E3">
        <w:rPr>
          <w:rFonts w:ascii="Times New Roman" w:hAnsi="Times New Roman" w:cs="Times New Roman"/>
          <w:sz w:val="24"/>
          <w:szCs w:val="24"/>
        </w:rPr>
        <w:t xml:space="preserve"> the target variable litigated to the dataset under analysis.</w:t>
      </w:r>
      <w:r w:rsidR="006E22E3" w:rsidRPr="006E22E3">
        <w:rPr>
          <w:rFonts w:ascii="Times New Roman" w:hAnsi="Times New Roman" w:cs="Times New Roman"/>
          <w:sz w:val="24"/>
          <w:szCs w:val="24"/>
        </w:rPr>
        <w:t xml:space="preserve"> </w:t>
      </w:r>
      <w:r w:rsidR="006E22E3" w:rsidRPr="006E22E3">
        <w:rPr>
          <w:rFonts w:ascii="Times New Roman" w:hAnsi="Times New Roman" w:cs="Times New Roman"/>
          <w:sz w:val="24"/>
          <w:szCs w:val="24"/>
        </w:rPr>
        <w:t>F</w:t>
      </w:r>
      <w:r w:rsidR="006E22E3" w:rsidRPr="006E22E3">
        <w:rPr>
          <w:rFonts w:ascii="Times New Roman" w:hAnsi="Times New Roman" w:cs="Times New Roman"/>
          <w:sz w:val="24"/>
          <w:szCs w:val="24"/>
        </w:rPr>
        <w:t>or</w:t>
      </w:r>
      <w:r w:rsidR="006E22E3" w:rsidRPr="006E22E3">
        <w:rPr>
          <w:rFonts w:ascii="Times New Roman" w:hAnsi="Times New Roman" w:cs="Times New Roman"/>
          <w:sz w:val="24"/>
          <w:szCs w:val="24"/>
        </w:rPr>
        <w:t xml:space="preserve"> each of the co</w:t>
      </w:r>
      <w:r w:rsidR="006E22E3" w:rsidRPr="006E22E3">
        <w:rPr>
          <w:rFonts w:ascii="Times New Roman" w:hAnsi="Times New Roman" w:cs="Times New Roman"/>
          <w:sz w:val="24"/>
          <w:szCs w:val="24"/>
        </w:rPr>
        <w:t>mp</w:t>
      </w:r>
      <w:r w:rsidR="006E22E3" w:rsidRPr="006E22E3">
        <w:rPr>
          <w:rFonts w:ascii="Times New Roman" w:hAnsi="Times New Roman" w:cs="Times New Roman"/>
          <w:sz w:val="24"/>
          <w:szCs w:val="24"/>
        </w:rPr>
        <w:t xml:space="preserve">any record identify if has any </w:t>
      </w:r>
      <w:r w:rsidR="006E22E3" w:rsidRPr="006E22E3">
        <w:rPr>
          <w:rFonts w:ascii="Times New Roman" w:hAnsi="Times New Roman" w:cs="Times New Roman"/>
          <w:sz w:val="24"/>
          <w:szCs w:val="24"/>
        </w:rPr>
        <w:t>SCA</w:t>
      </w:r>
      <w:r w:rsidR="006E22E3" w:rsidRPr="006E22E3">
        <w:rPr>
          <w:rFonts w:ascii="Times New Roman" w:hAnsi="Times New Roman" w:cs="Times New Roman"/>
          <w:sz w:val="24"/>
          <w:szCs w:val="24"/>
        </w:rPr>
        <w:t xml:space="preserve"> filing from the </w:t>
      </w:r>
      <w:r w:rsidR="006E22E3" w:rsidRPr="006E22E3">
        <w:rPr>
          <w:rFonts w:ascii="Times New Roman" w:hAnsi="Times New Roman" w:cs="Times New Roman"/>
          <w:sz w:val="24"/>
          <w:szCs w:val="24"/>
        </w:rPr>
        <w:t>SCA</w:t>
      </w:r>
      <w:r w:rsidR="006E22E3" w:rsidRPr="006E22E3">
        <w:rPr>
          <w:rFonts w:ascii="Times New Roman" w:hAnsi="Times New Roman" w:cs="Times New Roman"/>
          <w:sz w:val="24"/>
          <w:szCs w:val="24"/>
        </w:rPr>
        <w:t xml:space="preserve"> </w:t>
      </w:r>
      <w:r w:rsidR="006E22E3" w:rsidRPr="006E22E3">
        <w:rPr>
          <w:rFonts w:ascii="Times New Roman" w:hAnsi="Times New Roman" w:cs="Times New Roman"/>
          <w:sz w:val="24"/>
          <w:szCs w:val="24"/>
        </w:rPr>
        <w:t>filling</w:t>
      </w:r>
      <w:r w:rsidR="006E22E3" w:rsidRPr="006E22E3">
        <w:rPr>
          <w:rFonts w:ascii="Times New Roman" w:hAnsi="Times New Roman" w:cs="Times New Roman"/>
          <w:sz w:val="24"/>
          <w:szCs w:val="24"/>
        </w:rPr>
        <w:t xml:space="preserve"> dataset,</w:t>
      </w:r>
      <w:r w:rsidR="006E22E3" w:rsidRPr="006E22E3">
        <w:rPr>
          <w:rFonts w:ascii="Times New Roman" w:hAnsi="Times New Roman" w:cs="Times New Roman"/>
          <w:sz w:val="24"/>
          <w:szCs w:val="24"/>
        </w:rPr>
        <w:t xml:space="preserve"> </w:t>
      </w:r>
      <w:r w:rsidR="006E22E3" w:rsidRPr="006E22E3">
        <w:rPr>
          <w:rFonts w:ascii="Times New Roman" w:hAnsi="Times New Roman" w:cs="Times New Roman"/>
          <w:sz w:val="24"/>
          <w:szCs w:val="24"/>
        </w:rPr>
        <w:t xml:space="preserve">if entry exists then mark for that company </w:t>
      </w:r>
      <w:r w:rsidR="006E22E3" w:rsidRPr="006E22E3">
        <w:rPr>
          <w:rFonts w:ascii="Times New Roman" w:hAnsi="Times New Roman" w:cs="Times New Roman"/>
          <w:sz w:val="24"/>
          <w:szCs w:val="24"/>
        </w:rPr>
        <w:t>litigated</w:t>
      </w:r>
      <w:r w:rsidR="006E22E3" w:rsidRPr="006E22E3">
        <w:rPr>
          <w:rFonts w:ascii="Times New Roman" w:hAnsi="Times New Roman" w:cs="Times New Roman"/>
          <w:sz w:val="24"/>
          <w:szCs w:val="24"/>
        </w:rPr>
        <w:t xml:space="preserve"> = true or else if the record does not exist in </w:t>
      </w:r>
      <w:r w:rsidR="006E22E3" w:rsidRPr="006E22E3">
        <w:rPr>
          <w:rFonts w:ascii="Times New Roman" w:hAnsi="Times New Roman" w:cs="Times New Roman"/>
          <w:sz w:val="24"/>
          <w:szCs w:val="24"/>
        </w:rPr>
        <w:t>SCA</w:t>
      </w:r>
      <w:r w:rsidR="006E22E3" w:rsidRPr="006E22E3">
        <w:rPr>
          <w:rFonts w:ascii="Times New Roman" w:hAnsi="Times New Roman" w:cs="Times New Roman"/>
          <w:sz w:val="24"/>
          <w:szCs w:val="24"/>
        </w:rPr>
        <w:t xml:space="preserve"> filing for that </w:t>
      </w:r>
      <w:r w:rsidR="006E22E3" w:rsidRPr="006E22E3">
        <w:rPr>
          <w:rFonts w:ascii="Times New Roman" w:hAnsi="Times New Roman" w:cs="Times New Roman"/>
          <w:sz w:val="24"/>
          <w:szCs w:val="24"/>
        </w:rPr>
        <w:t>company</w:t>
      </w:r>
      <w:r w:rsidR="006E22E3" w:rsidRPr="006E22E3">
        <w:rPr>
          <w:rFonts w:ascii="Times New Roman" w:hAnsi="Times New Roman" w:cs="Times New Roman"/>
          <w:sz w:val="24"/>
          <w:szCs w:val="24"/>
        </w:rPr>
        <w:t xml:space="preserve"> then mark litigate</w:t>
      </w:r>
      <w:r w:rsidR="006E22E3" w:rsidRPr="006E22E3">
        <w:rPr>
          <w:rFonts w:ascii="Times New Roman" w:hAnsi="Times New Roman" w:cs="Times New Roman"/>
          <w:sz w:val="24"/>
          <w:szCs w:val="24"/>
        </w:rPr>
        <w:t>d</w:t>
      </w:r>
      <w:r w:rsidR="006E22E3" w:rsidRPr="006E22E3">
        <w:rPr>
          <w:rFonts w:ascii="Times New Roman" w:hAnsi="Times New Roman" w:cs="Times New Roman"/>
          <w:sz w:val="24"/>
          <w:szCs w:val="24"/>
        </w:rPr>
        <w:t xml:space="preserve"> attribute as false.</w:t>
      </w:r>
      <w:r w:rsidR="006E22E3" w:rsidRPr="006E22E3">
        <w:rPr>
          <w:rFonts w:ascii="Times New Roman" w:hAnsi="Times New Roman" w:cs="Times New Roman"/>
          <w:sz w:val="24"/>
          <w:szCs w:val="24"/>
        </w:rPr>
        <w:t xml:space="preserve"> </w:t>
      </w:r>
      <w:r w:rsidR="006E22E3" w:rsidRPr="006E22E3">
        <w:rPr>
          <w:rFonts w:ascii="Times New Roman" w:hAnsi="Times New Roman" w:cs="Times New Roman"/>
          <w:sz w:val="24"/>
          <w:szCs w:val="24"/>
        </w:rPr>
        <w:t>Also</w:t>
      </w:r>
      <w:r w:rsidR="006E22E3">
        <w:rPr>
          <w:rFonts w:ascii="Times New Roman" w:hAnsi="Times New Roman" w:cs="Times New Roman"/>
          <w:sz w:val="24"/>
          <w:szCs w:val="24"/>
        </w:rPr>
        <w:t>,</w:t>
      </w:r>
      <w:r w:rsidR="006E22E3" w:rsidRPr="006E22E3">
        <w:rPr>
          <w:rFonts w:ascii="Times New Roman" w:hAnsi="Times New Roman" w:cs="Times New Roman"/>
          <w:sz w:val="24"/>
          <w:szCs w:val="24"/>
        </w:rPr>
        <w:t xml:space="preserve"> in case of litigation </w:t>
      </w:r>
      <w:r w:rsidR="006E22E3" w:rsidRPr="006E22E3">
        <w:rPr>
          <w:rFonts w:ascii="Times New Roman" w:hAnsi="Times New Roman" w:cs="Times New Roman"/>
          <w:sz w:val="24"/>
          <w:szCs w:val="24"/>
        </w:rPr>
        <w:t>identify</w:t>
      </w:r>
      <w:r w:rsidR="006E22E3" w:rsidRPr="006E22E3">
        <w:rPr>
          <w:rFonts w:ascii="Times New Roman" w:hAnsi="Times New Roman" w:cs="Times New Roman"/>
          <w:sz w:val="24"/>
          <w:szCs w:val="24"/>
        </w:rPr>
        <w:t xml:space="preserve"> if there is any settlement amount and add same to main dataset. In case if multiple settlement amount exists for </w:t>
      </w:r>
      <w:r w:rsidR="006E22E3" w:rsidRPr="006E22E3">
        <w:rPr>
          <w:rFonts w:ascii="Times New Roman" w:hAnsi="Times New Roman" w:cs="Times New Roman"/>
          <w:sz w:val="24"/>
          <w:szCs w:val="24"/>
        </w:rPr>
        <w:t>company</w:t>
      </w:r>
      <w:r w:rsidR="006E22E3" w:rsidRPr="006E22E3">
        <w:rPr>
          <w:rFonts w:ascii="Times New Roman" w:hAnsi="Times New Roman" w:cs="Times New Roman"/>
          <w:sz w:val="24"/>
          <w:szCs w:val="24"/>
        </w:rPr>
        <w:t xml:space="preserve"> then take the maximum settlement amount.  </w:t>
      </w:r>
    </w:p>
    <w:p w14:paraId="4C222AD2" w14:textId="05FC5DB9" w:rsidR="006E22E3" w:rsidRDefault="006E22E3" w:rsidP="007E44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 the final dataset following key financial ratios for analyzing company stock performance were added these include as mentioned in below table.  </w:t>
      </w:r>
    </w:p>
    <w:tbl>
      <w:tblPr>
        <w:tblW w:w="7189" w:type="dxa"/>
        <w:tblInd w:w="1075" w:type="dxa"/>
        <w:tblLook w:val="04A0" w:firstRow="1" w:lastRow="0" w:firstColumn="1" w:lastColumn="0" w:noHBand="0" w:noVBand="1"/>
      </w:tblPr>
      <w:tblGrid>
        <w:gridCol w:w="1089"/>
        <w:gridCol w:w="6100"/>
      </w:tblGrid>
      <w:tr w:rsidR="00010263" w:rsidRPr="00010263" w14:paraId="60DAADF5" w14:textId="77777777" w:rsidTr="00010263">
        <w:trPr>
          <w:trHeight w:val="288"/>
        </w:trPr>
        <w:tc>
          <w:tcPr>
            <w:tcW w:w="1089"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348B67A" w14:textId="77777777" w:rsidR="00010263" w:rsidRPr="00010263" w:rsidRDefault="00010263" w:rsidP="00010263">
            <w:pPr>
              <w:spacing w:after="0" w:line="240" w:lineRule="auto"/>
              <w:rPr>
                <w:rFonts w:ascii="Times New Roman" w:eastAsia="Times New Roman" w:hAnsi="Times New Roman" w:cs="Times New Roman"/>
                <w:color w:val="FFFFFF"/>
              </w:rPr>
            </w:pPr>
            <w:r w:rsidRPr="00010263">
              <w:rPr>
                <w:rFonts w:ascii="Times New Roman" w:eastAsia="Times New Roman" w:hAnsi="Times New Roman" w:cs="Times New Roman"/>
                <w:color w:val="FFFFFF"/>
              </w:rPr>
              <w:t>Variable</w:t>
            </w:r>
          </w:p>
        </w:tc>
        <w:tc>
          <w:tcPr>
            <w:tcW w:w="6100" w:type="dxa"/>
            <w:tcBorders>
              <w:top w:val="single" w:sz="4" w:space="0" w:color="auto"/>
              <w:left w:val="nil"/>
              <w:bottom w:val="single" w:sz="4" w:space="0" w:color="auto"/>
              <w:right w:val="single" w:sz="4" w:space="0" w:color="auto"/>
            </w:tcBorders>
            <w:shd w:val="clear" w:color="000000" w:fill="4472C4"/>
            <w:noWrap/>
            <w:vAlign w:val="bottom"/>
            <w:hideMark/>
          </w:tcPr>
          <w:p w14:paraId="578D3FF0" w14:textId="77777777" w:rsidR="00010263" w:rsidRPr="00010263" w:rsidRDefault="00010263" w:rsidP="00010263">
            <w:pPr>
              <w:spacing w:after="0" w:line="240" w:lineRule="auto"/>
              <w:rPr>
                <w:rFonts w:ascii="Times New Roman" w:eastAsia="Times New Roman" w:hAnsi="Times New Roman" w:cs="Times New Roman"/>
                <w:color w:val="FFFFFF"/>
              </w:rPr>
            </w:pPr>
            <w:r w:rsidRPr="00010263">
              <w:rPr>
                <w:rFonts w:ascii="Times New Roman" w:eastAsia="Times New Roman" w:hAnsi="Times New Roman" w:cs="Times New Roman"/>
                <w:color w:val="FFFFFF"/>
              </w:rPr>
              <w:t>Description</w:t>
            </w:r>
          </w:p>
        </w:tc>
      </w:tr>
      <w:tr w:rsidR="00010263" w:rsidRPr="00010263" w14:paraId="41B7D750"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0506CB1" w14:textId="77777777" w:rsidR="00010263" w:rsidRPr="00010263" w:rsidRDefault="00010263" w:rsidP="00010263">
            <w:pPr>
              <w:spacing w:after="0" w:line="240" w:lineRule="auto"/>
              <w:rPr>
                <w:rFonts w:ascii="Calibri" w:eastAsia="Times New Roman" w:hAnsi="Calibri" w:cs="Calibri"/>
                <w:color w:val="000000"/>
              </w:rPr>
            </w:pPr>
            <w:proofErr w:type="spellStart"/>
            <w:r w:rsidRPr="00010263">
              <w:rPr>
                <w:rFonts w:ascii="Calibri" w:eastAsia="Times New Roman" w:hAnsi="Calibri" w:cs="Calibri"/>
                <w:color w:val="000000"/>
              </w:rPr>
              <w:t>de_ration</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68669039" w14:textId="77777777" w:rsidR="00010263" w:rsidRPr="00010263" w:rsidRDefault="00010263" w:rsidP="00010263">
            <w:pPr>
              <w:spacing w:after="0" w:line="240" w:lineRule="auto"/>
              <w:rPr>
                <w:rFonts w:ascii="Calibri" w:eastAsia="Times New Roman" w:hAnsi="Calibri" w:cs="Calibri"/>
                <w:color w:val="000000"/>
              </w:rPr>
            </w:pPr>
            <w:r w:rsidRPr="00010263">
              <w:rPr>
                <w:rFonts w:ascii="Calibri" w:eastAsia="Times New Roman" w:hAnsi="Calibri" w:cs="Calibri"/>
                <w:color w:val="000000"/>
              </w:rPr>
              <w:t>Debt to equity ratio</w:t>
            </w:r>
          </w:p>
        </w:tc>
      </w:tr>
      <w:tr w:rsidR="00010263" w:rsidRPr="00010263" w14:paraId="7D86806A"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44CBF486" w14:textId="77777777" w:rsidR="00010263" w:rsidRPr="00010263" w:rsidRDefault="00010263" w:rsidP="00010263">
            <w:pPr>
              <w:spacing w:after="0" w:line="240" w:lineRule="auto"/>
              <w:rPr>
                <w:rFonts w:ascii="Calibri" w:eastAsia="Times New Roman" w:hAnsi="Calibri" w:cs="Calibri"/>
                <w:color w:val="000000"/>
              </w:rPr>
            </w:pPr>
            <w:proofErr w:type="spellStart"/>
            <w:r w:rsidRPr="00010263">
              <w:rPr>
                <w:rFonts w:ascii="Calibri" w:eastAsia="Times New Roman" w:hAnsi="Calibri" w:cs="Calibri"/>
                <w:color w:val="000000"/>
              </w:rPr>
              <w:t>wc_ratio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5F709810" w14:textId="77777777" w:rsidR="00010263" w:rsidRPr="00010263" w:rsidRDefault="00010263" w:rsidP="00010263">
            <w:pPr>
              <w:spacing w:after="0" w:line="240" w:lineRule="auto"/>
              <w:rPr>
                <w:rFonts w:ascii="Calibri" w:eastAsia="Times New Roman" w:hAnsi="Calibri" w:cs="Calibri"/>
                <w:color w:val="000000"/>
              </w:rPr>
            </w:pPr>
            <w:r w:rsidRPr="00010263">
              <w:rPr>
                <w:rFonts w:ascii="Calibri" w:eastAsia="Times New Roman" w:hAnsi="Calibri" w:cs="Calibri"/>
                <w:color w:val="000000"/>
              </w:rPr>
              <w:t>Working capital ratio</w:t>
            </w:r>
          </w:p>
        </w:tc>
      </w:tr>
      <w:tr w:rsidR="00010263" w:rsidRPr="00010263" w14:paraId="4BD09175"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2BF96436" w14:textId="77777777" w:rsidR="00010263" w:rsidRPr="00010263" w:rsidRDefault="00010263" w:rsidP="00010263">
            <w:pPr>
              <w:spacing w:after="0" w:line="240" w:lineRule="auto"/>
              <w:rPr>
                <w:rFonts w:ascii="Calibri" w:eastAsia="Times New Roman" w:hAnsi="Calibri" w:cs="Calibri"/>
                <w:color w:val="000000"/>
              </w:rPr>
            </w:pPr>
            <w:proofErr w:type="spellStart"/>
            <w:r w:rsidRPr="00010263">
              <w:rPr>
                <w:rFonts w:ascii="Calibri" w:eastAsia="Times New Roman" w:hAnsi="Calibri" w:cs="Calibri"/>
                <w:color w:val="000000"/>
              </w:rPr>
              <w:t>pe_ratio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19862F48" w14:textId="0EC309C5" w:rsidR="00010263" w:rsidRPr="00010263" w:rsidRDefault="00010263" w:rsidP="00010263">
            <w:pPr>
              <w:spacing w:after="0" w:line="240" w:lineRule="auto"/>
              <w:rPr>
                <w:rFonts w:ascii="Calibri" w:eastAsia="Times New Roman" w:hAnsi="Calibri" w:cs="Calibri"/>
                <w:color w:val="000000"/>
              </w:rPr>
            </w:pPr>
            <w:r w:rsidRPr="00010263">
              <w:rPr>
                <w:rFonts w:ascii="Calibri" w:eastAsia="Times New Roman" w:hAnsi="Calibri" w:cs="Calibri"/>
                <w:color w:val="000000"/>
              </w:rPr>
              <w:t xml:space="preserve">Pricing to </w:t>
            </w:r>
            <w:r w:rsidRPr="00010263">
              <w:rPr>
                <w:rFonts w:ascii="Calibri" w:eastAsia="Times New Roman" w:hAnsi="Calibri" w:cs="Calibri"/>
                <w:color w:val="000000"/>
              </w:rPr>
              <w:t>earnings</w:t>
            </w:r>
            <w:r w:rsidRPr="00010263">
              <w:rPr>
                <w:rFonts w:ascii="Calibri" w:eastAsia="Times New Roman" w:hAnsi="Calibri" w:cs="Calibri"/>
                <w:color w:val="000000"/>
              </w:rPr>
              <w:t xml:space="preserve"> ratio</w:t>
            </w:r>
          </w:p>
        </w:tc>
      </w:tr>
      <w:tr w:rsidR="00010263" w:rsidRPr="00010263" w14:paraId="340C10FF" w14:textId="77777777" w:rsidTr="00010263">
        <w:trPr>
          <w:trHeight w:val="288"/>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14:paraId="1B69071A" w14:textId="77777777" w:rsidR="00010263" w:rsidRPr="00010263" w:rsidRDefault="00010263" w:rsidP="00010263">
            <w:pPr>
              <w:spacing w:after="0" w:line="240" w:lineRule="auto"/>
              <w:rPr>
                <w:rFonts w:ascii="Calibri" w:eastAsia="Times New Roman" w:hAnsi="Calibri" w:cs="Calibri"/>
                <w:color w:val="000000"/>
              </w:rPr>
            </w:pPr>
            <w:proofErr w:type="spellStart"/>
            <w:r w:rsidRPr="00010263">
              <w:rPr>
                <w:rFonts w:ascii="Calibri" w:eastAsia="Times New Roman" w:hAnsi="Calibri" w:cs="Calibri"/>
                <w:color w:val="000000"/>
              </w:rPr>
              <w:t>roe_ratio</w:t>
            </w:r>
            <w:proofErr w:type="spellEnd"/>
          </w:p>
        </w:tc>
        <w:tc>
          <w:tcPr>
            <w:tcW w:w="6100" w:type="dxa"/>
            <w:tcBorders>
              <w:top w:val="nil"/>
              <w:left w:val="nil"/>
              <w:bottom w:val="single" w:sz="4" w:space="0" w:color="auto"/>
              <w:right w:val="single" w:sz="4" w:space="0" w:color="auto"/>
            </w:tcBorders>
            <w:shd w:val="clear" w:color="auto" w:fill="auto"/>
            <w:noWrap/>
            <w:vAlign w:val="bottom"/>
            <w:hideMark/>
          </w:tcPr>
          <w:p w14:paraId="274242DE" w14:textId="77777777" w:rsidR="00010263" w:rsidRPr="00010263" w:rsidRDefault="00010263" w:rsidP="00010263">
            <w:pPr>
              <w:spacing w:after="0" w:line="240" w:lineRule="auto"/>
              <w:rPr>
                <w:rFonts w:ascii="Calibri" w:eastAsia="Times New Roman" w:hAnsi="Calibri" w:cs="Calibri"/>
                <w:color w:val="000000"/>
              </w:rPr>
            </w:pPr>
            <w:r w:rsidRPr="00010263">
              <w:rPr>
                <w:rFonts w:ascii="Calibri" w:eastAsia="Times New Roman" w:hAnsi="Calibri" w:cs="Calibri"/>
                <w:color w:val="000000"/>
              </w:rPr>
              <w:t>Return on Equity</w:t>
            </w:r>
          </w:p>
        </w:tc>
      </w:tr>
    </w:tbl>
    <w:p w14:paraId="3DA44891" w14:textId="6B5A76D9" w:rsidR="006E22E3" w:rsidRDefault="006E22E3" w:rsidP="006E22E3">
      <w:pPr>
        <w:pStyle w:val="ListParagraph"/>
        <w:rPr>
          <w:rFonts w:ascii="Times New Roman" w:hAnsi="Times New Roman" w:cs="Times New Roman"/>
          <w:sz w:val="24"/>
          <w:szCs w:val="24"/>
        </w:rPr>
      </w:pPr>
    </w:p>
    <w:p w14:paraId="088E4A16" w14:textId="3B679376" w:rsidR="00010263" w:rsidRDefault="00010263" w:rsidP="00010263">
      <w:pPr>
        <w:pStyle w:val="Heading2"/>
      </w:pPr>
      <w:r>
        <w:t>Feature engineering</w:t>
      </w:r>
    </w:p>
    <w:p w14:paraId="2C6A21F9" w14:textId="44F3E3C7" w:rsidR="00303DF8" w:rsidRDefault="00010263" w:rsidP="00303DF8">
      <w:pPr>
        <w:pStyle w:val="Heading3"/>
      </w:pPr>
      <w:r w:rsidRPr="00303DF8">
        <w:t>NA value</w:t>
      </w:r>
      <w:r w:rsidR="00303DF8">
        <w:t xml:space="preserve"> variables</w:t>
      </w:r>
    </w:p>
    <w:p w14:paraId="68F99BFC" w14:textId="478EDCA9" w:rsidR="00010263" w:rsidRDefault="00010263" w:rsidP="00303DF8">
      <w:pPr>
        <w:rPr>
          <w:rFonts w:ascii="Times New Roman" w:hAnsi="Times New Roman" w:cs="Times New Roman"/>
          <w:sz w:val="24"/>
          <w:szCs w:val="24"/>
        </w:rPr>
      </w:pPr>
      <w:r w:rsidRPr="00303DF8">
        <w:rPr>
          <w:rFonts w:ascii="Times New Roman" w:hAnsi="Times New Roman" w:cs="Times New Roman"/>
          <w:sz w:val="24"/>
          <w:szCs w:val="24"/>
        </w:rPr>
        <w:t>There are close to 1700+ variables in the consolidated dataset, so first step was to remove all columns with considerable amount of NA values. So</w:t>
      </w:r>
      <w:r w:rsidR="00303DF8">
        <w:rPr>
          <w:rFonts w:ascii="Times New Roman" w:hAnsi="Times New Roman" w:cs="Times New Roman"/>
          <w:sz w:val="24"/>
          <w:szCs w:val="24"/>
        </w:rPr>
        <w:t>,</w:t>
      </w:r>
      <w:r w:rsidRPr="00303DF8">
        <w:rPr>
          <w:rFonts w:ascii="Times New Roman" w:hAnsi="Times New Roman" w:cs="Times New Roman"/>
          <w:sz w:val="24"/>
          <w:szCs w:val="24"/>
        </w:rPr>
        <w:t xml:space="preserve"> in this r</w:t>
      </w:r>
      <w:r w:rsidRPr="00303DF8">
        <w:rPr>
          <w:rFonts w:ascii="Times New Roman" w:hAnsi="Times New Roman" w:cs="Times New Roman"/>
          <w:sz w:val="24"/>
          <w:szCs w:val="24"/>
        </w:rPr>
        <w:t>emove all the columns which contain 25% or greater NA or null values</w:t>
      </w:r>
      <w:r w:rsidRPr="00303DF8">
        <w:rPr>
          <w:rFonts w:ascii="Times New Roman" w:hAnsi="Times New Roman" w:cs="Times New Roman"/>
          <w:sz w:val="24"/>
          <w:szCs w:val="24"/>
        </w:rPr>
        <w:t>. This reduced the number of columns to close to 300</w:t>
      </w:r>
    </w:p>
    <w:p w14:paraId="4EB418A2" w14:textId="772847BC" w:rsidR="00303DF8" w:rsidRPr="00303DF8" w:rsidRDefault="00303DF8" w:rsidP="00303DF8">
      <w:pPr>
        <w:pStyle w:val="Heading3"/>
      </w:pPr>
      <w:r>
        <w:t xml:space="preserve">Manual analysis for reducing number of predictive variables </w:t>
      </w:r>
    </w:p>
    <w:p w14:paraId="0F90F554" w14:textId="3995502B" w:rsidR="00010263" w:rsidRDefault="008E32DE" w:rsidP="00003ED6">
      <w:pPr>
        <w:pStyle w:val="ListParagraph"/>
        <w:numPr>
          <w:ilvl w:val="0"/>
          <w:numId w:val="1"/>
        </w:numPr>
        <w:rPr>
          <w:rFonts w:ascii="Times New Roman" w:hAnsi="Times New Roman" w:cs="Times New Roman"/>
          <w:sz w:val="24"/>
          <w:szCs w:val="24"/>
        </w:rPr>
      </w:pPr>
      <w:r w:rsidRPr="008E32DE">
        <w:rPr>
          <w:rFonts w:ascii="Times New Roman" w:hAnsi="Times New Roman" w:cs="Times New Roman"/>
          <w:sz w:val="24"/>
          <w:szCs w:val="24"/>
        </w:rPr>
        <w:t xml:space="preserve">Remove all the columns which are related to general information of the company like address, phone, </w:t>
      </w:r>
      <w:r w:rsidRPr="008E32DE">
        <w:rPr>
          <w:rFonts w:ascii="Times New Roman" w:hAnsi="Times New Roman" w:cs="Times New Roman"/>
          <w:sz w:val="24"/>
          <w:szCs w:val="24"/>
        </w:rPr>
        <w:t>URL</w:t>
      </w:r>
      <w:r>
        <w:rPr>
          <w:rFonts w:ascii="Times New Roman" w:hAnsi="Times New Roman" w:cs="Times New Roman"/>
          <w:sz w:val="24"/>
          <w:szCs w:val="24"/>
        </w:rPr>
        <w:t>,</w:t>
      </w:r>
      <w:r w:rsidRPr="008E32DE">
        <w:rPr>
          <w:rFonts w:ascii="Times New Roman" w:hAnsi="Times New Roman" w:cs="Times New Roman"/>
          <w:sz w:val="24"/>
          <w:szCs w:val="24"/>
        </w:rPr>
        <w:t xml:space="preserve"> etc.</w:t>
      </w:r>
      <w:r w:rsidR="00010263">
        <w:rPr>
          <w:rFonts w:ascii="Times New Roman" w:hAnsi="Times New Roman" w:cs="Times New Roman"/>
          <w:sz w:val="24"/>
          <w:szCs w:val="24"/>
        </w:rPr>
        <w:t xml:space="preserve">  </w:t>
      </w:r>
      <w:r w:rsidR="00010263" w:rsidRPr="00010263">
        <w:rPr>
          <w:rFonts w:ascii="Times New Roman" w:hAnsi="Times New Roman" w:cs="Times New Roman"/>
          <w:sz w:val="24"/>
          <w:szCs w:val="24"/>
        </w:rPr>
        <w:t xml:space="preserve"> </w:t>
      </w:r>
    </w:p>
    <w:p w14:paraId="6EBA1D50" w14:textId="77777777" w:rsidR="008278A5" w:rsidRDefault="008E32DE" w:rsidP="00003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lot of columns with </w:t>
      </w:r>
      <w:r w:rsidR="008278A5">
        <w:rPr>
          <w:rFonts w:ascii="Times New Roman" w:hAnsi="Times New Roman" w:cs="Times New Roman"/>
          <w:sz w:val="24"/>
          <w:szCs w:val="24"/>
        </w:rPr>
        <w:t>hardly any variance, so i</w:t>
      </w:r>
      <w:r w:rsidR="008278A5" w:rsidRPr="008278A5">
        <w:rPr>
          <w:rFonts w:ascii="Times New Roman" w:hAnsi="Times New Roman" w:cs="Times New Roman"/>
          <w:sz w:val="24"/>
          <w:szCs w:val="24"/>
        </w:rPr>
        <w:t>dentify columns which have values which are ne</w:t>
      </w:r>
      <w:r w:rsidR="008278A5">
        <w:rPr>
          <w:rFonts w:ascii="Times New Roman" w:hAnsi="Times New Roman" w:cs="Times New Roman"/>
          <w:sz w:val="24"/>
          <w:szCs w:val="24"/>
        </w:rPr>
        <w:t>ar</w:t>
      </w:r>
      <w:r w:rsidR="008278A5" w:rsidRPr="008278A5">
        <w:rPr>
          <w:rFonts w:ascii="Times New Roman" w:hAnsi="Times New Roman" w:cs="Times New Roman"/>
          <w:sz w:val="24"/>
          <w:szCs w:val="24"/>
        </w:rPr>
        <w:t xml:space="preserve"> to zero variance</w:t>
      </w:r>
      <w:r w:rsidR="008278A5">
        <w:rPr>
          <w:rFonts w:ascii="Times New Roman" w:hAnsi="Times New Roman" w:cs="Times New Roman"/>
          <w:sz w:val="24"/>
          <w:szCs w:val="24"/>
        </w:rPr>
        <w:t xml:space="preserve"> and remove them from dataset.</w:t>
      </w:r>
    </w:p>
    <w:p w14:paraId="551904AE" w14:textId="77777777" w:rsidR="008278A5" w:rsidRDefault="008278A5" w:rsidP="00003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Above steps reduced the number of columns from 300 to 220.</w:t>
      </w:r>
    </w:p>
    <w:p w14:paraId="588B27F9" w14:textId="028BC163" w:rsidR="00303DF8" w:rsidRPr="00303DF8" w:rsidRDefault="008278A5" w:rsidP="007A4030">
      <w:pPr>
        <w:pStyle w:val="ListParagraph"/>
        <w:numPr>
          <w:ilvl w:val="0"/>
          <w:numId w:val="1"/>
        </w:numPr>
        <w:rPr>
          <w:rFonts w:ascii="Times New Roman" w:hAnsi="Times New Roman" w:cs="Times New Roman"/>
          <w:sz w:val="24"/>
          <w:szCs w:val="24"/>
        </w:rPr>
      </w:pPr>
      <w:r w:rsidRPr="00303DF8">
        <w:rPr>
          <w:rFonts w:ascii="Times New Roman" w:hAnsi="Times New Roman" w:cs="Times New Roman"/>
          <w:sz w:val="24"/>
          <w:szCs w:val="24"/>
        </w:rPr>
        <w:t xml:space="preserve">Based on manual analysis of the columns and considering the </w:t>
      </w:r>
      <w:r w:rsidRPr="00303DF8">
        <w:rPr>
          <w:rFonts w:ascii="Times New Roman" w:hAnsi="Times New Roman" w:cs="Times New Roman"/>
          <w:sz w:val="24"/>
          <w:szCs w:val="24"/>
        </w:rPr>
        <w:t>target variable</w:t>
      </w:r>
      <w:r w:rsidRPr="00303DF8">
        <w:rPr>
          <w:rFonts w:ascii="Times New Roman" w:hAnsi="Times New Roman" w:cs="Times New Roman"/>
          <w:sz w:val="24"/>
          <w:szCs w:val="24"/>
        </w:rPr>
        <w:t>, remove</w:t>
      </w:r>
      <w:r w:rsidRPr="00303DF8">
        <w:rPr>
          <w:rFonts w:ascii="Times New Roman" w:hAnsi="Times New Roman" w:cs="Times New Roman"/>
          <w:sz w:val="24"/>
          <w:szCs w:val="24"/>
        </w:rPr>
        <w:t>d</w:t>
      </w:r>
      <w:r w:rsidRPr="00303DF8">
        <w:rPr>
          <w:rFonts w:ascii="Times New Roman" w:hAnsi="Times New Roman" w:cs="Times New Roman"/>
          <w:sz w:val="24"/>
          <w:szCs w:val="24"/>
        </w:rPr>
        <w:t xml:space="preserve"> the variables which logically </w:t>
      </w:r>
      <w:r w:rsidRPr="00303DF8">
        <w:rPr>
          <w:rFonts w:ascii="Times New Roman" w:hAnsi="Times New Roman" w:cs="Times New Roman"/>
          <w:sz w:val="24"/>
          <w:szCs w:val="24"/>
        </w:rPr>
        <w:t xml:space="preserve">are related to target variable, these reduce the variable to 147. </w:t>
      </w:r>
    </w:p>
    <w:p w14:paraId="03AF6574" w14:textId="77777777" w:rsidR="00303DF8" w:rsidRDefault="008278A5" w:rsidP="00303DF8">
      <w:pPr>
        <w:pStyle w:val="Heading3"/>
      </w:pPr>
      <w:r w:rsidRPr="00303DF8">
        <w:t xml:space="preserve">Reducing Collinearity </w:t>
      </w:r>
    </w:p>
    <w:p w14:paraId="1F53B2AE" w14:textId="5A1F73EE" w:rsidR="008278A5" w:rsidRPr="00303DF8" w:rsidRDefault="008278A5" w:rsidP="00303DF8">
      <w:pPr>
        <w:rPr>
          <w:rFonts w:ascii="Times New Roman" w:hAnsi="Times New Roman" w:cs="Times New Roman"/>
          <w:sz w:val="24"/>
          <w:szCs w:val="24"/>
        </w:rPr>
      </w:pPr>
      <w:r w:rsidRPr="00303DF8">
        <w:rPr>
          <w:rFonts w:ascii="Times New Roman" w:hAnsi="Times New Roman" w:cs="Times New Roman"/>
          <w:sz w:val="24"/>
          <w:szCs w:val="24"/>
        </w:rPr>
        <w:t>To identify the variable correlation, buil</w:t>
      </w:r>
      <w:r w:rsidR="00303DF8" w:rsidRPr="00303DF8">
        <w:rPr>
          <w:rFonts w:ascii="Times New Roman" w:hAnsi="Times New Roman" w:cs="Times New Roman"/>
          <w:sz w:val="24"/>
          <w:szCs w:val="24"/>
        </w:rPr>
        <w:t>t</w:t>
      </w:r>
      <w:r w:rsidRPr="00303DF8">
        <w:rPr>
          <w:rFonts w:ascii="Times New Roman" w:hAnsi="Times New Roman" w:cs="Times New Roman"/>
          <w:sz w:val="24"/>
          <w:szCs w:val="24"/>
        </w:rPr>
        <w:t xml:space="preserve"> a correlation table like shown below. Based on the below table </w:t>
      </w:r>
      <w:r w:rsidR="00303DF8" w:rsidRPr="00303DF8">
        <w:rPr>
          <w:rFonts w:ascii="Times New Roman" w:hAnsi="Times New Roman" w:cs="Times New Roman"/>
          <w:sz w:val="24"/>
          <w:szCs w:val="24"/>
        </w:rPr>
        <w:t xml:space="preserve">collinear variables pairs were analyzed and removed one variable from the pair to break the collinearity. Collinearity threshold that was considered was 0.9, any thing above attempt was made to break the collinearity pair. </w:t>
      </w:r>
      <w:r w:rsidRPr="00303DF8">
        <w:rPr>
          <w:rFonts w:ascii="Times New Roman" w:hAnsi="Times New Roman" w:cs="Times New Roman"/>
          <w:sz w:val="24"/>
          <w:szCs w:val="24"/>
        </w:rPr>
        <w:t xml:space="preserve"> </w:t>
      </w:r>
    </w:p>
    <w:p w14:paraId="19433878" w14:textId="09EBEFC9" w:rsidR="008E32DE" w:rsidRDefault="008278A5" w:rsidP="00303DF8">
      <w:pPr>
        <w:pStyle w:val="ListParagraph"/>
        <w:ind w:left="0"/>
        <w:rPr>
          <w:rFonts w:ascii="Times New Roman" w:hAnsi="Times New Roman" w:cs="Times New Roman"/>
          <w:sz w:val="24"/>
          <w:szCs w:val="24"/>
        </w:rPr>
      </w:pPr>
      <w:r>
        <w:rPr>
          <w:noProof/>
        </w:rPr>
        <w:lastRenderedPageBreak/>
        <w:drawing>
          <wp:inline distT="0" distB="0" distL="0" distR="0" wp14:anchorId="729A237D" wp14:editId="5488F8A3">
            <wp:extent cx="5943600" cy="1577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7975"/>
                    </a:xfrm>
                    <a:prstGeom prst="rect">
                      <a:avLst/>
                    </a:prstGeom>
                  </pic:spPr>
                </pic:pic>
              </a:graphicData>
            </a:graphic>
          </wp:inline>
        </w:drawing>
      </w:r>
      <w:r>
        <w:rPr>
          <w:rFonts w:ascii="Times New Roman" w:hAnsi="Times New Roman" w:cs="Times New Roman"/>
          <w:sz w:val="24"/>
          <w:szCs w:val="24"/>
        </w:rPr>
        <w:t xml:space="preserve"> </w:t>
      </w:r>
    </w:p>
    <w:p w14:paraId="3B5AA1E6" w14:textId="1A1482CC"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Post collinearity removal the table looks something like this </w:t>
      </w:r>
    </w:p>
    <w:p w14:paraId="2FFD716A" w14:textId="1FEA8C7A" w:rsidR="00303DF8" w:rsidRDefault="00303DF8" w:rsidP="00303DF8">
      <w:pPr>
        <w:pStyle w:val="ListParagraph"/>
        <w:ind w:left="0"/>
        <w:rPr>
          <w:rFonts w:ascii="Times New Roman" w:hAnsi="Times New Roman" w:cs="Times New Roman"/>
          <w:sz w:val="24"/>
          <w:szCs w:val="24"/>
        </w:rPr>
      </w:pPr>
      <w:r>
        <w:rPr>
          <w:noProof/>
        </w:rPr>
        <w:drawing>
          <wp:inline distT="0" distB="0" distL="0" distR="0" wp14:anchorId="122FA2BA" wp14:editId="4AC84F82">
            <wp:extent cx="5943600" cy="1608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8455"/>
                    </a:xfrm>
                    <a:prstGeom prst="rect">
                      <a:avLst/>
                    </a:prstGeom>
                  </pic:spPr>
                </pic:pic>
              </a:graphicData>
            </a:graphic>
          </wp:inline>
        </w:drawing>
      </w:r>
    </w:p>
    <w:p w14:paraId="041BD8ED" w14:textId="0A6843DF" w:rsidR="00303DF8" w:rsidRDefault="00303DF8" w:rsidP="00303DF8">
      <w:pPr>
        <w:pStyle w:val="ListParagraph"/>
        <w:ind w:left="0"/>
        <w:rPr>
          <w:rFonts w:ascii="Times New Roman" w:hAnsi="Times New Roman" w:cs="Times New Roman"/>
          <w:sz w:val="24"/>
          <w:szCs w:val="24"/>
        </w:rPr>
      </w:pPr>
      <w:r>
        <w:rPr>
          <w:noProof/>
        </w:rPr>
        <w:drawing>
          <wp:inline distT="0" distB="0" distL="0" distR="0" wp14:anchorId="22EA0348" wp14:editId="55C890CF">
            <wp:extent cx="5943600" cy="158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2420"/>
                    </a:xfrm>
                    <a:prstGeom prst="rect">
                      <a:avLst/>
                    </a:prstGeom>
                  </pic:spPr>
                </pic:pic>
              </a:graphicData>
            </a:graphic>
          </wp:inline>
        </w:drawing>
      </w:r>
    </w:p>
    <w:p w14:paraId="5D00805A" w14:textId="5E970C0E" w:rsidR="00303DF8" w:rsidRDefault="00303DF8" w:rsidP="00303DF8">
      <w:pPr>
        <w:pStyle w:val="ListParagraph"/>
        <w:ind w:left="0"/>
        <w:rPr>
          <w:rFonts w:ascii="Times New Roman" w:hAnsi="Times New Roman" w:cs="Times New Roman"/>
          <w:sz w:val="24"/>
          <w:szCs w:val="24"/>
        </w:rPr>
      </w:pPr>
      <w:r>
        <w:rPr>
          <w:rFonts w:ascii="Times New Roman" w:hAnsi="Times New Roman" w:cs="Times New Roman"/>
          <w:sz w:val="24"/>
          <w:szCs w:val="24"/>
        </w:rPr>
        <w:t>Reducing the collinearity led to final 83 predictive variables.</w:t>
      </w:r>
    </w:p>
    <w:p w14:paraId="29F99087" w14:textId="14D6D478" w:rsidR="00574CE9" w:rsidRDefault="00574CE9" w:rsidP="00574CE9">
      <w:pPr>
        <w:pStyle w:val="Heading3"/>
      </w:pPr>
      <w:r>
        <w:t xml:space="preserve">Encoding </w:t>
      </w:r>
    </w:p>
    <w:p w14:paraId="10A1BC37" w14:textId="054F7AA6" w:rsidR="00D44D20" w:rsidRPr="00D44D20" w:rsidRDefault="00D44D20" w:rsidP="00D44D20">
      <w:r>
        <w:t>Prior</w:t>
      </w:r>
      <w:r>
        <w:t xml:space="preserve"> applying any encoding all the categorical variables are converted as factor. Then all the categorical variables were target encoded, there were very few categorical variables, these include standard and poor rating variable, rating increased/decreased variable and all restatement variables, these restatement variables indicate whether a particular variable was restated as part of restatement. </w:t>
      </w:r>
    </w:p>
    <w:p w14:paraId="6A584059" w14:textId="46B00C6E" w:rsidR="00303DF8" w:rsidRDefault="009005E6" w:rsidP="009005E6">
      <w:pPr>
        <w:pStyle w:val="Heading3"/>
        <w:rPr>
          <w:rFonts w:ascii="Times New Roman" w:hAnsi="Times New Roman" w:cs="Times New Roman"/>
        </w:rPr>
      </w:pPr>
      <w:r w:rsidRPr="009005E6">
        <w:t>Training</w:t>
      </w:r>
      <w:r>
        <w:rPr>
          <w:rFonts w:ascii="Times New Roman" w:hAnsi="Times New Roman" w:cs="Times New Roman"/>
        </w:rPr>
        <w:t xml:space="preserve"> and Test dataset set</w:t>
      </w:r>
    </w:p>
    <w:p w14:paraId="4D9CA620" w14:textId="77777777" w:rsidR="009D7C7C" w:rsidRDefault="009005E6" w:rsidP="009D7C7C">
      <w:r>
        <w:t xml:space="preserve">Final dataset resulted in 333 observation, this was final dataset with all data merging, aggregation, encoding etc. This data set is then split to training and test dataset with ratio of 0.75/0.25, with 0.75 been training dataset and 0.25 been test dataset.  </w:t>
      </w:r>
    </w:p>
    <w:p w14:paraId="363DEC07" w14:textId="53CBD563" w:rsidR="009D7C7C" w:rsidRDefault="009D7C7C" w:rsidP="009D7C7C">
      <w:pPr>
        <w:pStyle w:val="Heading3"/>
      </w:pPr>
      <w:r>
        <w:t>Class imbalance</w:t>
      </w:r>
    </w:p>
    <w:p w14:paraId="4DC61C0B" w14:textId="601242A8" w:rsidR="009D7C7C" w:rsidRPr="009D7C7C" w:rsidRDefault="008E0948" w:rsidP="009D7C7C">
      <w:r>
        <w:t xml:space="preserve">In this case target variable is whether company has been litigated or not, and if we looks at the training dataset, the ration of litigated or not is  </w:t>
      </w:r>
    </w:p>
    <w:p w14:paraId="2801D8B7" w14:textId="428F5FAA" w:rsidR="00510C41" w:rsidRDefault="00510C41" w:rsidP="00510C41">
      <w:pPr>
        <w:pStyle w:val="Heading1"/>
      </w:pPr>
      <w:r>
        <w:lastRenderedPageBreak/>
        <w:t>Detailed Findings</w:t>
      </w:r>
    </w:p>
    <w:p w14:paraId="1155D793" w14:textId="66090396" w:rsidR="00510C41" w:rsidRDefault="00510C41" w:rsidP="00510C41">
      <w:pPr>
        <w:pStyle w:val="Heading1"/>
      </w:pPr>
      <w:r>
        <w:t>Validity &amp; Reliability Assessment</w:t>
      </w:r>
    </w:p>
    <w:p w14:paraId="02DB83FD" w14:textId="2E84D9B8" w:rsidR="00510C41" w:rsidRDefault="00510C41" w:rsidP="00510C41">
      <w:pPr>
        <w:pStyle w:val="Heading1"/>
      </w:pPr>
      <w:r>
        <w:t>Appendix</w:t>
      </w:r>
    </w:p>
    <w:sectPr w:rsidR="0051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315B7"/>
    <w:multiLevelType w:val="hybridMultilevel"/>
    <w:tmpl w:val="88B0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5F"/>
    <w:rsid w:val="00010263"/>
    <w:rsid w:val="000642F2"/>
    <w:rsid w:val="000B307F"/>
    <w:rsid w:val="000C3F4E"/>
    <w:rsid w:val="00144506"/>
    <w:rsid w:val="001B5559"/>
    <w:rsid w:val="002969F9"/>
    <w:rsid w:val="002F5111"/>
    <w:rsid w:val="00303DF8"/>
    <w:rsid w:val="003069FC"/>
    <w:rsid w:val="003B2463"/>
    <w:rsid w:val="00417ABC"/>
    <w:rsid w:val="00424723"/>
    <w:rsid w:val="00510C41"/>
    <w:rsid w:val="00574CE9"/>
    <w:rsid w:val="005B05F1"/>
    <w:rsid w:val="00623DF8"/>
    <w:rsid w:val="00672DCE"/>
    <w:rsid w:val="00675FAF"/>
    <w:rsid w:val="006E062F"/>
    <w:rsid w:val="006E22E3"/>
    <w:rsid w:val="0070616A"/>
    <w:rsid w:val="00776B73"/>
    <w:rsid w:val="008278A5"/>
    <w:rsid w:val="00845171"/>
    <w:rsid w:val="008E0948"/>
    <w:rsid w:val="008E32DE"/>
    <w:rsid w:val="009005E6"/>
    <w:rsid w:val="0096476A"/>
    <w:rsid w:val="00995D7A"/>
    <w:rsid w:val="009D7C7C"/>
    <w:rsid w:val="00A45B51"/>
    <w:rsid w:val="00A56043"/>
    <w:rsid w:val="00AC19F7"/>
    <w:rsid w:val="00AC63B5"/>
    <w:rsid w:val="00AE2D5F"/>
    <w:rsid w:val="00B0022A"/>
    <w:rsid w:val="00B12CF6"/>
    <w:rsid w:val="00C10EDA"/>
    <w:rsid w:val="00CF235B"/>
    <w:rsid w:val="00D44D20"/>
    <w:rsid w:val="00D5030A"/>
    <w:rsid w:val="00E52629"/>
    <w:rsid w:val="00EA4F13"/>
    <w:rsid w:val="00EC33DD"/>
    <w:rsid w:val="00FF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77CB"/>
  <w15:chartTrackingRefBased/>
  <w15:docId w15:val="{988C5586-8E2E-4199-8975-BD405444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E"/>
  </w:style>
  <w:style w:type="paragraph" w:styleId="Heading1">
    <w:name w:val="heading 1"/>
    <w:basedOn w:val="Normal"/>
    <w:next w:val="Normal"/>
    <w:link w:val="Heading1Char"/>
    <w:uiPriority w:val="9"/>
    <w:qFormat/>
    <w:rsid w:val="0051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0C3F4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0C3F4E"/>
    <w:rPr>
      <w:rFonts w:asciiTheme="majorHAnsi" w:eastAsiaTheme="majorEastAsia" w:hAnsiTheme="majorHAnsi" w:cstheme="majorBidi"/>
      <w:color w:val="2F5496" w:themeColor="accent1" w:themeShade="BF"/>
      <w:kern w:val="28"/>
      <w:sz w:val="60"/>
    </w:rPr>
  </w:style>
  <w:style w:type="character" w:customStyle="1" w:styleId="Heading1Char">
    <w:name w:val="Heading 1 Char"/>
    <w:basedOn w:val="DefaultParagraphFont"/>
    <w:link w:val="Heading1"/>
    <w:uiPriority w:val="9"/>
    <w:rsid w:val="00510C41"/>
    <w:rPr>
      <w:rFonts w:asciiTheme="majorHAnsi" w:eastAsiaTheme="majorEastAsia" w:hAnsiTheme="majorHAnsi" w:cstheme="majorBidi"/>
      <w:color w:val="2F5496" w:themeColor="accent1" w:themeShade="BF"/>
      <w:sz w:val="32"/>
      <w:szCs w:val="32"/>
    </w:rPr>
  </w:style>
  <w:style w:type="paragraph" w:customStyle="1" w:styleId="Default">
    <w:name w:val="Default"/>
    <w:rsid w:val="00510C4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5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62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0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030A"/>
    <w:pPr>
      <w:ind w:left="720"/>
      <w:contextualSpacing/>
    </w:pPr>
  </w:style>
  <w:style w:type="character" w:customStyle="1" w:styleId="Heading3Char">
    <w:name w:val="Heading 3 Char"/>
    <w:basedOn w:val="DefaultParagraphFont"/>
    <w:link w:val="Heading3"/>
    <w:uiPriority w:val="9"/>
    <w:rsid w:val="000102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7926">
      <w:bodyDiv w:val="1"/>
      <w:marLeft w:val="0"/>
      <w:marRight w:val="0"/>
      <w:marTop w:val="0"/>
      <w:marBottom w:val="0"/>
      <w:divBdr>
        <w:top w:val="none" w:sz="0" w:space="0" w:color="auto"/>
        <w:left w:val="none" w:sz="0" w:space="0" w:color="auto"/>
        <w:bottom w:val="none" w:sz="0" w:space="0" w:color="auto"/>
        <w:right w:val="none" w:sz="0" w:space="0" w:color="auto"/>
      </w:divBdr>
    </w:div>
    <w:div w:id="201409217">
      <w:bodyDiv w:val="1"/>
      <w:marLeft w:val="0"/>
      <w:marRight w:val="0"/>
      <w:marTop w:val="0"/>
      <w:marBottom w:val="0"/>
      <w:divBdr>
        <w:top w:val="none" w:sz="0" w:space="0" w:color="auto"/>
        <w:left w:val="none" w:sz="0" w:space="0" w:color="auto"/>
        <w:bottom w:val="none" w:sz="0" w:space="0" w:color="auto"/>
        <w:right w:val="none" w:sz="0" w:space="0" w:color="auto"/>
      </w:divBdr>
    </w:div>
    <w:div w:id="746459325">
      <w:bodyDiv w:val="1"/>
      <w:marLeft w:val="0"/>
      <w:marRight w:val="0"/>
      <w:marTop w:val="0"/>
      <w:marBottom w:val="0"/>
      <w:divBdr>
        <w:top w:val="none" w:sz="0" w:space="0" w:color="auto"/>
        <w:left w:val="none" w:sz="0" w:space="0" w:color="auto"/>
        <w:bottom w:val="none" w:sz="0" w:space="0" w:color="auto"/>
        <w:right w:val="none" w:sz="0" w:space="0" w:color="auto"/>
      </w:divBdr>
    </w:div>
    <w:div w:id="879711347">
      <w:bodyDiv w:val="1"/>
      <w:marLeft w:val="0"/>
      <w:marRight w:val="0"/>
      <w:marTop w:val="0"/>
      <w:marBottom w:val="0"/>
      <w:divBdr>
        <w:top w:val="none" w:sz="0" w:space="0" w:color="auto"/>
        <w:left w:val="none" w:sz="0" w:space="0" w:color="auto"/>
        <w:bottom w:val="none" w:sz="0" w:space="0" w:color="auto"/>
        <w:right w:val="none" w:sz="0" w:space="0" w:color="auto"/>
      </w:divBdr>
    </w:div>
    <w:div w:id="1541477588">
      <w:bodyDiv w:val="1"/>
      <w:marLeft w:val="0"/>
      <w:marRight w:val="0"/>
      <w:marTop w:val="0"/>
      <w:marBottom w:val="0"/>
      <w:divBdr>
        <w:top w:val="none" w:sz="0" w:space="0" w:color="auto"/>
        <w:left w:val="none" w:sz="0" w:space="0" w:color="auto"/>
        <w:bottom w:val="none" w:sz="0" w:space="0" w:color="auto"/>
        <w:right w:val="none" w:sz="0" w:space="0" w:color="auto"/>
      </w:divBdr>
    </w:div>
    <w:div w:id="1543134702">
      <w:bodyDiv w:val="1"/>
      <w:marLeft w:val="0"/>
      <w:marRight w:val="0"/>
      <w:marTop w:val="0"/>
      <w:marBottom w:val="0"/>
      <w:divBdr>
        <w:top w:val="none" w:sz="0" w:space="0" w:color="auto"/>
        <w:left w:val="none" w:sz="0" w:space="0" w:color="auto"/>
        <w:bottom w:val="none" w:sz="0" w:space="0" w:color="auto"/>
        <w:right w:val="none" w:sz="0" w:space="0" w:color="auto"/>
      </w:divBdr>
    </w:div>
    <w:div w:id="16802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amol\Repos\GithubRepos\msdatascience\msdatascience\CapsStone\Project%20Report\Project-Report-add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Accruracy %</c:v>
                </c:pt>
              </c:strCache>
            </c:strRef>
          </c:tx>
          <c:spPr>
            <a:solidFill>
              <a:schemeClr val="accent2"/>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5"/>
                <c:pt idx="0">
                  <c:v>Logisitic Regression</c:v>
                </c:pt>
                <c:pt idx="1">
                  <c:v>LDA</c:v>
                </c:pt>
                <c:pt idx="2">
                  <c:v>Lasso</c:v>
                </c:pt>
                <c:pt idx="3">
                  <c:v>Gradient boosting</c:v>
                </c:pt>
                <c:pt idx="4">
                  <c:v>Random forest</c:v>
                </c:pt>
              </c:strCache>
            </c:strRef>
          </c:cat>
          <c:val>
            <c:numRef>
              <c:f>Sheet1!$B$2:$B$6</c:f>
              <c:numCache>
                <c:formatCode>0%</c:formatCode>
                <c:ptCount val="5"/>
                <c:pt idx="0">
                  <c:v>0.66265059999999998</c:v>
                </c:pt>
                <c:pt idx="1">
                  <c:v>0.75903609999999999</c:v>
                </c:pt>
                <c:pt idx="2">
                  <c:v>0.76519999999999999</c:v>
                </c:pt>
                <c:pt idx="3">
                  <c:v>0.77108429999999994</c:v>
                </c:pt>
                <c:pt idx="4">
                  <c:v>0.80722890000000003</c:v>
                </c:pt>
              </c:numCache>
            </c:numRef>
          </c:val>
          <c:extLst>
            <c:ext xmlns:c16="http://schemas.microsoft.com/office/drawing/2014/chart" uri="{C3380CC4-5D6E-409C-BE32-E72D297353CC}">
              <c16:uniqueId val="{00000000-F2D8-46F6-A8BE-318EF2E28E78}"/>
            </c:ext>
          </c:extLst>
        </c:ser>
        <c:dLbls>
          <c:showLegendKey val="0"/>
          <c:showVal val="0"/>
          <c:showCatName val="0"/>
          <c:showSerName val="0"/>
          <c:showPercent val="0"/>
          <c:showBubbleSize val="0"/>
        </c:dLbls>
        <c:gapWidth val="100"/>
        <c:overlap val="-24"/>
        <c:axId val="419840240"/>
        <c:axId val="419841224"/>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Auc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Sheet1!$A$2:$A$6</c15:sqref>
                        </c15:formulaRef>
                      </c:ext>
                    </c:extLst>
                    <c:strCache>
                      <c:ptCount val="5"/>
                      <c:pt idx="0">
                        <c:v>Logisitic Regression</c:v>
                      </c:pt>
                      <c:pt idx="1">
                        <c:v>LDA</c:v>
                      </c:pt>
                      <c:pt idx="2">
                        <c:v>Lasso</c:v>
                      </c:pt>
                      <c:pt idx="3">
                        <c:v>Gradient boosting</c:v>
                      </c:pt>
                      <c:pt idx="4">
                        <c:v>Random forest</c:v>
                      </c:pt>
                    </c:strCache>
                  </c:strRef>
                </c:cat>
                <c:val>
                  <c:numRef>
                    <c:extLst>
                      <c:ext uri="{02D57815-91ED-43cb-92C2-25804820EDAC}">
                        <c15:formulaRef>
                          <c15:sqref>Sheet1!$C$2:$C$6</c15:sqref>
                        </c15:formulaRef>
                      </c:ext>
                    </c:extLst>
                    <c:numCache>
                      <c:formatCode>0%</c:formatCode>
                      <c:ptCount val="5"/>
                      <c:pt idx="0">
                        <c:v>0.58522730000000001</c:v>
                      </c:pt>
                      <c:pt idx="1">
                        <c:v>0.49116159999999998</c:v>
                      </c:pt>
                      <c:pt idx="2">
                        <c:v>0.54666700000000001</c:v>
                      </c:pt>
                      <c:pt idx="3">
                        <c:v>0.77777779999999996</c:v>
                      </c:pt>
                      <c:pt idx="4">
                        <c:v>0.79103540000000006</c:v>
                      </c:pt>
                    </c:numCache>
                  </c:numRef>
                </c:val>
                <c:extLst>
                  <c:ext xmlns:c16="http://schemas.microsoft.com/office/drawing/2014/chart" uri="{C3380CC4-5D6E-409C-BE32-E72D297353CC}">
                    <c16:uniqueId val="{00000001-F2D8-46F6-A8BE-318EF2E28E78}"/>
                  </c:ext>
                </c:extLst>
              </c15:ser>
            </c15:filteredBarSeries>
          </c:ext>
        </c:extLst>
      </c:barChart>
      <c:catAx>
        <c:axId val="41984024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9841224"/>
        <c:crosses val="autoZero"/>
        <c:auto val="1"/>
        <c:lblAlgn val="ctr"/>
        <c:lblOffset val="100"/>
        <c:noMultiLvlLbl val="0"/>
      </c:catAx>
      <c:valAx>
        <c:axId val="41984122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984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1"/>
          <c:order val="1"/>
          <c:tx>
            <c:strRef>
              <c:f>Sheet1!$C$1</c:f>
              <c:strCache>
                <c:ptCount val="1"/>
                <c:pt idx="0">
                  <c:v>Auc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5"/>
                <c:pt idx="0">
                  <c:v>Logisitic Regression</c:v>
                </c:pt>
                <c:pt idx="1">
                  <c:v>LDA</c:v>
                </c:pt>
                <c:pt idx="2">
                  <c:v>Lasso</c:v>
                </c:pt>
                <c:pt idx="3">
                  <c:v>Gradient boosting</c:v>
                </c:pt>
                <c:pt idx="4">
                  <c:v>Random forest</c:v>
                </c:pt>
              </c:strCache>
            </c:strRef>
          </c:cat>
          <c:val>
            <c:numRef>
              <c:f>Sheet1!$C$2:$C$6</c:f>
              <c:numCache>
                <c:formatCode>0%</c:formatCode>
                <c:ptCount val="5"/>
                <c:pt idx="0">
                  <c:v>0.58522730000000001</c:v>
                </c:pt>
                <c:pt idx="1">
                  <c:v>0.49116159999999998</c:v>
                </c:pt>
                <c:pt idx="2">
                  <c:v>0.54666700000000001</c:v>
                </c:pt>
                <c:pt idx="3">
                  <c:v>0.77777779999999996</c:v>
                </c:pt>
                <c:pt idx="4">
                  <c:v>0.79103540000000006</c:v>
                </c:pt>
              </c:numCache>
            </c:numRef>
          </c:val>
          <c:extLst>
            <c:ext xmlns:c16="http://schemas.microsoft.com/office/drawing/2014/chart" uri="{C3380CC4-5D6E-409C-BE32-E72D297353CC}">
              <c16:uniqueId val="{00000000-A48E-41F3-AFFF-93EEA16C7E31}"/>
            </c:ext>
          </c:extLst>
        </c:ser>
        <c:dLbls>
          <c:showLegendKey val="0"/>
          <c:showVal val="0"/>
          <c:showCatName val="0"/>
          <c:showSerName val="0"/>
          <c:showPercent val="0"/>
          <c:showBubbleSize val="0"/>
        </c:dLbls>
        <c:gapWidth val="150"/>
        <c:overlap val="100"/>
        <c:axId val="540225416"/>
        <c:axId val="54022672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pt idx="0">
                        <c:v>Accruracy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extLst>
                      <c:ext uri="{02D57815-91ED-43cb-92C2-25804820EDAC}">
                        <c15:formulaRef>
                          <c15:sqref>Sheet1!$A$2:$A$6</c15:sqref>
                        </c15:formulaRef>
                      </c:ext>
                    </c:extLst>
                    <c:strCache>
                      <c:ptCount val="5"/>
                      <c:pt idx="0">
                        <c:v>Logisitic Regression</c:v>
                      </c:pt>
                      <c:pt idx="1">
                        <c:v>LDA</c:v>
                      </c:pt>
                      <c:pt idx="2">
                        <c:v>Lasso</c:v>
                      </c:pt>
                      <c:pt idx="3">
                        <c:v>Gradient boosting</c:v>
                      </c:pt>
                      <c:pt idx="4">
                        <c:v>Random forest</c:v>
                      </c:pt>
                    </c:strCache>
                  </c:strRef>
                </c:cat>
                <c:val>
                  <c:numRef>
                    <c:extLst>
                      <c:ext uri="{02D57815-91ED-43cb-92C2-25804820EDAC}">
                        <c15:formulaRef>
                          <c15:sqref>Sheet1!$B$2:$B$6</c15:sqref>
                        </c15:formulaRef>
                      </c:ext>
                    </c:extLst>
                    <c:numCache>
                      <c:formatCode>0%</c:formatCode>
                      <c:ptCount val="5"/>
                      <c:pt idx="0">
                        <c:v>0.66265059999999998</c:v>
                      </c:pt>
                      <c:pt idx="1">
                        <c:v>0.75903609999999999</c:v>
                      </c:pt>
                      <c:pt idx="2">
                        <c:v>0.76519999999999999</c:v>
                      </c:pt>
                      <c:pt idx="3">
                        <c:v>0.77108429999999994</c:v>
                      </c:pt>
                      <c:pt idx="4">
                        <c:v>0.80722890000000003</c:v>
                      </c:pt>
                    </c:numCache>
                  </c:numRef>
                </c:val>
                <c:extLst>
                  <c:ext xmlns:c16="http://schemas.microsoft.com/office/drawing/2014/chart" uri="{C3380CC4-5D6E-409C-BE32-E72D297353CC}">
                    <c16:uniqueId val="{00000001-A48E-41F3-AFFF-93EEA16C7E31}"/>
                  </c:ext>
                </c:extLst>
              </c15:ser>
            </c15:filteredBarSeries>
          </c:ext>
        </c:extLst>
      </c:barChart>
      <c:catAx>
        <c:axId val="54022541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226728"/>
        <c:crosses val="autoZero"/>
        <c:auto val="1"/>
        <c:lblAlgn val="ctr"/>
        <c:lblOffset val="100"/>
        <c:noMultiLvlLbl val="0"/>
      </c:catAx>
      <c:valAx>
        <c:axId val="540226728"/>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022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25</cp:revision>
  <dcterms:created xsi:type="dcterms:W3CDTF">2020-12-06T12:21:00Z</dcterms:created>
  <dcterms:modified xsi:type="dcterms:W3CDTF">2020-12-07T02:46:00Z</dcterms:modified>
</cp:coreProperties>
</file>