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68A" w:rsidRDefault="00620020" w:rsidP="0032068A">
      <w:pPr>
        <w:pStyle w:val="Heading1"/>
        <w:rPr>
          <w:rFonts w:eastAsia="Times New Roman"/>
        </w:rPr>
      </w:pPr>
      <w:r w:rsidRPr="00620020">
        <w:rPr>
          <w:rFonts w:eastAsia="Times New Roman"/>
        </w:rPr>
        <w:t>Assignment 2: Visualization Critique</w:t>
      </w:r>
    </w:p>
    <w:p w:rsidR="0032068A" w:rsidRPr="0032068A" w:rsidRDefault="00620020" w:rsidP="0032068A">
      <w:p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>
        <w:rPr>
          <w:rFonts w:eastAsia="Times New Roman" w:cstheme="minorHAnsi"/>
          <w:color w:val="262626"/>
          <w:szCs w:val="21"/>
        </w:rPr>
        <w:t>From week 1 assignment I had chosen below visualization as bad visualization and explained what the issues with below visualization were</w:t>
      </w:r>
    </w:p>
    <w:p w:rsidR="0032068A" w:rsidRDefault="0032068A" w:rsidP="0032068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  <w:r w:rsidRPr="0032068A">
        <w:rPr>
          <w:rFonts w:ascii="Arial" w:eastAsia="Times New Roman" w:hAnsi="Arial" w:cs="Arial"/>
          <w:noProof/>
          <w:color w:val="262626"/>
          <w:sz w:val="21"/>
          <w:szCs w:val="21"/>
        </w:rPr>
        <w:drawing>
          <wp:inline distT="0" distB="0" distL="0" distR="0">
            <wp:extent cx="2458528" cy="2373310"/>
            <wp:effectExtent l="0" t="0" r="0" b="8255"/>
            <wp:docPr id="5" name="Picture 5" descr="C:\Aamol\Repos\GithubRepos\msdatascience\DataVisualization\Week1\Discussion\USDeficitAnfMfgComb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Aamol\Repos\GithubRepos\msdatascience\DataVisualization\Week1\Discussion\USDeficitAnfMfgCombin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667" cy="239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020" w:rsidRDefault="00620020" w:rsidP="00620020">
      <w:p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620020">
        <w:rPr>
          <w:rFonts w:eastAsia="Times New Roman" w:cstheme="minorHAnsi"/>
          <w:color w:val="262626"/>
          <w:szCs w:val="21"/>
        </w:rPr>
        <w:t>As part of the week 2 assignment I have redrawn this visualization and have to overcome whatever issues that had been identified.</w:t>
      </w:r>
      <w:r>
        <w:rPr>
          <w:rFonts w:eastAsia="Times New Roman" w:cstheme="minorHAnsi"/>
          <w:color w:val="262626"/>
          <w:szCs w:val="21"/>
        </w:rPr>
        <w:t xml:space="preserve"> Below is modified version of the above visualization </w:t>
      </w:r>
    </w:p>
    <w:p w:rsidR="00620020" w:rsidRDefault="00620020" w:rsidP="00620020">
      <w:p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62002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FF4CD6" wp14:editId="5B3366FC">
                <wp:simplePos x="0" y="0"/>
                <wp:positionH relativeFrom="column">
                  <wp:posOffset>8626</wp:posOffset>
                </wp:positionH>
                <wp:positionV relativeFrom="paragraph">
                  <wp:posOffset>172073</wp:posOffset>
                </wp:positionV>
                <wp:extent cx="4839419" cy="590550"/>
                <wp:effectExtent l="0" t="0" r="0" b="0"/>
                <wp:wrapNone/>
                <wp:docPr id="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590550"/>
                        </a:xfrm>
                        <a:prstGeom prst="rect">
                          <a:avLst/>
                        </a:prstGeom>
                        <a:solidFill>
                          <a:srgbClr val="C2DAF0"/>
                        </a:solidFill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0020" w:rsidRDefault="00620020" w:rsidP="0062002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dark1"/>
                                <w:sz w:val="28"/>
                                <w:szCs w:val="28"/>
                              </w:rPr>
                              <w:t>Trade Deficit and decline in manufacturing jobs</w:t>
                            </w:r>
                          </w:p>
                          <w:p w:rsidR="00620020" w:rsidRDefault="00620020" w:rsidP="0062002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8"/>
                                <w:szCs w:val="28"/>
                              </w:rPr>
                              <w:t>United States</w:t>
                            </w:r>
                          </w:p>
                        </w:txbxContent>
                      </wps:txbx>
                      <wps:bodyPr vertOverflow="clip" horzOverflow="clip" wrap="square" rtlCol="0" anchor="b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FF4CD6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margin-left:.7pt;margin-top:13.55pt;width:381.05pt;height:46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" fillcolor="#c2daf0" stroked="f">
                <v:textbox>
                  <w:txbxContent>
                    <w:p w:rsidR="00620020" w:rsidRDefault="00620020" w:rsidP="0062002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dark1"/>
                          <w:sz w:val="28"/>
                          <w:szCs w:val="28"/>
                        </w:rPr>
                        <w:t>Trade Deficit and decline in manufacturing jobs</w:t>
                      </w:r>
                    </w:p>
                    <w:p w:rsidR="00620020" w:rsidRDefault="00620020" w:rsidP="0062002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sz w:val="28"/>
                          <w:szCs w:val="28"/>
                        </w:rPr>
                        <w:t>United States</w:t>
                      </w:r>
                    </w:p>
                  </w:txbxContent>
                </v:textbox>
              </v:shape>
            </w:pict>
          </mc:Fallback>
        </mc:AlternateContent>
      </w:r>
    </w:p>
    <w:p w:rsidR="00620020" w:rsidRPr="00620020" w:rsidRDefault="00620020" w:rsidP="00620020">
      <w:p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62002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CE0EC" wp14:editId="78BDB372">
                <wp:simplePos x="0" y="0"/>
                <wp:positionH relativeFrom="margin">
                  <wp:posOffset>8626</wp:posOffset>
                </wp:positionH>
                <wp:positionV relativeFrom="paragraph">
                  <wp:posOffset>2891742</wp:posOffset>
                </wp:positionV>
                <wp:extent cx="4854647" cy="285750"/>
                <wp:effectExtent l="0" t="0" r="22225" b="19050"/>
                <wp:wrapNone/>
                <wp:docPr id="8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647" cy="285750"/>
                        </a:xfrm>
                        <a:prstGeom prst="rect">
                          <a:avLst/>
                        </a:prstGeom>
                        <a:solidFill>
                          <a:srgbClr val="C2DAF0"/>
                        </a:solidFill>
                        <a:ln w="9525" cmpd="sng">
                          <a:solidFill>
                            <a:srgbClr val="C2DAF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0020" w:rsidRDefault="00620020" w:rsidP="0062002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Sources: US Census Bureau; BLS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CE0EC" id="TextBox 7" o:spid="_x0000_s1027" type="#_x0000_t202" style="position:absolute;margin-left:.7pt;margin-top:227.7pt;width:382.25pt;height:22.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" fillcolor="#c2daf0" strokecolor="#c2daf0">
                <v:textbox>
                  <w:txbxContent>
                    <w:p w:rsidR="00620020" w:rsidRDefault="00620020" w:rsidP="0062002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sz w:val="22"/>
                          <w:szCs w:val="22"/>
                        </w:rPr>
                        <w:t>Sources: US Census Bureau; BLS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20020">
        <w:rPr>
          <w:noProof/>
        </w:rPr>
        <w:drawing>
          <wp:inline distT="0" distB="0" distL="0" distR="0" wp14:anchorId="685DA3AA" wp14:editId="6B5C9AB4">
            <wp:extent cx="2457449" cy="2895599"/>
            <wp:effectExtent l="0" t="0" r="635" b="63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r w:rsidRPr="00620020">
        <w:rPr>
          <w:noProof/>
        </w:rPr>
        <w:drawing>
          <wp:inline distT="0" distB="0" distL="0" distR="0" wp14:anchorId="5AA7E573" wp14:editId="761A4291">
            <wp:extent cx="2405063" cy="2871788"/>
            <wp:effectExtent l="0" t="0" r="14605" b="508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32068A" w:rsidRPr="0032068A" w:rsidRDefault="0032068A" w:rsidP="0032068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  <w:bookmarkStart w:id="0" w:name="_GoBack"/>
      <w:bookmarkEnd w:id="0"/>
    </w:p>
    <w:p w:rsidR="0032068A" w:rsidRPr="0032068A" w:rsidRDefault="00111747" w:rsidP="00111747">
      <w:pPr>
        <w:pStyle w:val="Heading2"/>
        <w:rPr>
          <w:rFonts w:eastAsia="Times New Roman"/>
        </w:rPr>
      </w:pPr>
      <w:r>
        <w:rPr>
          <w:rFonts w:eastAsia="Times New Roman"/>
        </w:rPr>
        <w:t>I</w:t>
      </w:r>
      <w:r w:rsidR="0032068A" w:rsidRPr="0032068A">
        <w:rPr>
          <w:rFonts w:eastAsia="Times New Roman"/>
        </w:rPr>
        <w:t xml:space="preserve">ssues with the </w:t>
      </w:r>
      <w:r>
        <w:rPr>
          <w:rFonts w:eastAsia="Times New Roman"/>
        </w:rPr>
        <w:t>above bad visualization</w:t>
      </w:r>
    </w:p>
    <w:p w:rsidR="0032068A" w:rsidRPr="0032068A" w:rsidRDefault="0032068A" w:rsidP="00111747">
      <w:pPr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32068A">
        <w:rPr>
          <w:rFonts w:eastAsia="Times New Roman" w:cstheme="minorHAnsi"/>
          <w:color w:val="262626"/>
          <w:szCs w:val="21"/>
        </w:rPr>
        <w:t xml:space="preserve">There are 2 data series that are getting plotted over here and one is negative (trade deficit) and </w:t>
      </w:r>
      <w:r w:rsidR="00F4393C">
        <w:rPr>
          <w:rFonts w:eastAsia="Times New Roman" w:cstheme="minorHAnsi"/>
          <w:color w:val="262626"/>
          <w:szCs w:val="21"/>
        </w:rPr>
        <w:t xml:space="preserve">the </w:t>
      </w:r>
      <w:r w:rsidRPr="0032068A">
        <w:rPr>
          <w:rFonts w:eastAsia="Times New Roman" w:cstheme="minorHAnsi"/>
          <w:color w:val="262626"/>
          <w:szCs w:val="21"/>
        </w:rPr>
        <w:t xml:space="preserve">other is positive (Manufacturing Jobs), which does not seem to be readily visible to </w:t>
      </w:r>
      <w:r w:rsidR="00F4393C">
        <w:rPr>
          <w:rFonts w:eastAsia="Times New Roman" w:cstheme="minorHAnsi"/>
          <w:color w:val="262626"/>
          <w:szCs w:val="21"/>
        </w:rPr>
        <w:t xml:space="preserve">the </w:t>
      </w:r>
      <w:r w:rsidRPr="0032068A">
        <w:rPr>
          <w:rFonts w:eastAsia="Times New Roman" w:cstheme="minorHAnsi"/>
          <w:color w:val="262626"/>
          <w:szCs w:val="21"/>
        </w:rPr>
        <w:t xml:space="preserve">user unless you deep dive into the chart </w:t>
      </w:r>
      <w:r w:rsidR="00564593">
        <w:rPr>
          <w:rFonts w:eastAsia="Times New Roman" w:cstheme="minorHAnsi"/>
          <w:color w:val="262626"/>
          <w:szCs w:val="21"/>
        </w:rPr>
        <w:t xml:space="preserve">and </w:t>
      </w:r>
      <w:r w:rsidRPr="0032068A">
        <w:rPr>
          <w:rFonts w:eastAsia="Times New Roman" w:cstheme="minorHAnsi"/>
          <w:color w:val="262626"/>
          <w:szCs w:val="21"/>
        </w:rPr>
        <w:t>observe.</w:t>
      </w:r>
    </w:p>
    <w:p w:rsidR="0032068A" w:rsidRPr="0032068A" w:rsidRDefault="0032068A" w:rsidP="00144E0A">
      <w:pPr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32068A">
        <w:rPr>
          <w:rFonts w:eastAsia="Times New Roman" w:cstheme="minorHAnsi"/>
          <w:color w:val="262626"/>
          <w:szCs w:val="21"/>
        </w:rPr>
        <w:lastRenderedPageBreak/>
        <w:t xml:space="preserve">The chart does not </w:t>
      </w:r>
      <w:r w:rsidR="00144E0A" w:rsidRPr="00144E0A">
        <w:rPr>
          <w:rFonts w:eastAsia="Times New Roman" w:cstheme="minorHAnsi"/>
          <w:color w:val="262626"/>
          <w:szCs w:val="21"/>
        </w:rPr>
        <w:t>simplistically convey the intended message</w:t>
      </w:r>
      <w:r w:rsidR="00144E0A">
        <w:rPr>
          <w:rFonts w:eastAsia="Times New Roman" w:cstheme="minorHAnsi"/>
          <w:color w:val="262626"/>
          <w:szCs w:val="21"/>
        </w:rPr>
        <w:t xml:space="preserve"> </w:t>
      </w:r>
      <w:r w:rsidRPr="0032068A">
        <w:rPr>
          <w:rFonts w:eastAsia="Times New Roman" w:cstheme="minorHAnsi"/>
          <w:color w:val="262626"/>
          <w:szCs w:val="21"/>
        </w:rPr>
        <w:t>and it confuses the audience with 2 scales.</w:t>
      </w:r>
    </w:p>
    <w:p w:rsidR="0032068A" w:rsidRPr="0032068A" w:rsidRDefault="0032068A" w:rsidP="00111747">
      <w:pPr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32068A">
        <w:rPr>
          <w:rFonts w:eastAsia="Times New Roman" w:cstheme="minorHAnsi"/>
          <w:color w:val="262626"/>
          <w:szCs w:val="21"/>
        </w:rPr>
        <w:t>The two data series don’t share a common baseline. The baseline of the trade deficit is at the top of the chart (highlighted by a red line drawn across half of the chart body). The baseline of the right scale is at the bottom. This can be misleading to the audience and confusing as well.</w:t>
      </w:r>
    </w:p>
    <w:p w:rsidR="0032068A" w:rsidRPr="0032068A" w:rsidRDefault="0032068A" w:rsidP="00111747">
      <w:pPr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32068A">
        <w:rPr>
          <w:rFonts w:eastAsia="Times New Roman" w:cstheme="minorHAnsi"/>
          <w:color w:val="262626"/>
          <w:szCs w:val="21"/>
        </w:rPr>
        <w:t>The title mentions Free markets and Free Workers, which does not seem to be making sense, it could have just mentioned that Trade Deficit and decline in manufacturing jobs.</w:t>
      </w:r>
    </w:p>
    <w:p w:rsidR="0032068A" w:rsidRPr="0032068A" w:rsidRDefault="0032068A" w:rsidP="00111747">
      <w:pPr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32068A">
        <w:rPr>
          <w:rFonts w:eastAsia="Times New Roman" w:cstheme="minorHAnsi"/>
          <w:color w:val="262626"/>
          <w:szCs w:val="21"/>
        </w:rPr>
        <w:t>There is nothing aesthetically pleasing in the chart or anything significantly different which catches audience attention.</w:t>
      </w:r>
    </w:p>
    <w:p w:rsidR="0032068A" w:rsidRPr="0032068A" w:rsidRDefault="0032068A" w:rsidP="00111747">
      <w:pPr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32068A">
        <w:rPr>
          <w:rFonts w:eastAsia="Times New Roman" w:cstheme="minorHAnsi"/>
          <w:color w:val="262626"/>
          <w:szCs w:val="21"/>
        </w:rPr>
        <w:t>Instead of combining the 2 series they could have been shown separately in 2 charts side by side, this way it would had been simple easy to understand and would have had conveyed the intended message.</w:t>
      </w:r>
    </w:p>
    <w:p w:rsidR="0032068A" w:rsidRPr="0032068A" w:rsidRDefault="0032068A" w:rsidP="0032068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</w:p>
    <w:p w:rsidR="0032068A" w:rsidRPr="0032068A" w:rsidRDefault="0032068A" w:rsidP="0032068A">
      <w:pPr>
        <w:pStyle w:val="Heading2"/>
        <w:rPr>
          <w:rFonts w:eastAsia="Times New Roman"/>
        </w:rPr>
      </w:pPr>
      <w:r w:rsidRPr="0032068A">
        <w:rPr>
          <w:rFonts w:eastAsia="Times New Roman"/>
        </w:rPr>
        <w:t>Another bad example</w:t>
      </w:r>
    </w:p>
    <w:p w:rsidR="0032068A" w:rsidRPr="0032068A" w:rsidRDefault="0032068A" w:rsidP="0032068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62626"/>
          <w:szCs w:val="21"/>
        </w:rPr>
      </w:pPr>
      <w:r w:rsidRPr="0032068A">
        <w:rPr>
          <w:rFonts w:eastAsia="Times New Roman" w:cstheme="minorHAnsi"/>
          <w:color w:val="262626"/>
          <w:szCs w:val="21"/>
        </w:rPr>
        <w:t xml:space="preserve">It shows the average </w:t>
      </w:r>
      <w:r w:rsidR="00564593">
        <w:rPr>
          <w:rFonts w:eastAsia="Times New Roman" w:cstheme="minorHAnsi"/>
          <w:color w:val="262626"/>
          <w:szCs w:val="21"/>
        </w:rPr>
        <w:t xml:space="preserve">person </w:t>
      </w:r>
      <w:r w:rsidRPr="0032068A">
        <w:rPr>
          <w:rFonts w:eastAsia="Times New Roman" w:cstheme="minorHAnsi"/>
          <w:color w:val="262626"/>
          <w:szCs w:val="21"/>
        </w:rPr>
        <w:t xml:space="preserve">age per state, </w:t>
      </w:r>
      <w:r w:rsidR="00F4393C">
        <w:rPr>
          <w:rFonts w:eastAsia="Times New Roman" w:cstheme="minorHAnsi"/>
          <w:color w:val="262626"/>
          <w:szCs w:val="21"/>
        </w:rPr>
        <w:t xml:space="preserve">the </w:t>
      </w:r>
      <w:r w:rsidRPr="0032068A">
        <w:rPr>
          <w:rFonts w:eastAsia="Times New Roman" w:cstheme="minorHAnsi"/>
          <w:color w:val="262626"/>
          <w:szCs w:val="21"/>
        </w:rPr>
        <w:t>intended message to convey is very simple.</w:t>
      </w:r>
    </w:p>
    <w:p w:rsidR="0032068A" w:rsidRPr="0032068A" w:rsidRDefault="0032068A" w:rsidP="0032068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  <w:r w:rsidRPr="0032068A">
        <w:rPr>
          <w:rFonts w:ascii="Arial" w:eastAsia="Times New Roman" w:hAnsi="Arial" w:cs="Arial"/>
          <w:noProof/>
          <w:color w:val="262626"/>
          <w:sz w:val="21"/>
          <w:szCs w:val="21"/>
        </w:rPr>
        <w:drawing>
          <wp:inline distT="0" distB="0" distL="0" distR="0">
            <wp:extent cx="5943600" cy="3972431"/>
            <wp:effectExtent l="0" t="0" r="0" b="9525"/>
            <wp:docPr id="6" name="Picture 6" descr="C:\Aamol\Repos\GithubRepos\msdatascience\DataVisualization\Week1\Discussion\AvgAgePer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Aamol\Repos\GithubRepos\msdatascience\DataVisualization\Week1\Discussion\AvgAgePerSt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68A" w:rsidRPr="0032068A" w:rsidRDefault="0032068A" w:rsidP="0032068A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</w:p>
    <w:p w:rsidR="0032068A" w:rsidRPr="0032068A" w:rsidRDefault="0032068A" w:rsidP="00111747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32068A">
        <w:rPr>
          <w:rFonts w:eastAsia="Times New Roman" w:cstheme="minorHAnsi"/>
          <w:color w:val="262626"/>
          <w:szCs w:val="21"/>
        </w:rPr>
        <w:t>It’s confusing to see the metric associated with each state.</w:t>
      </w:r>
    </w:p>
    <w:p w:rsidR="0032068A" w:rsidRPr="0032068A" w:rsidRDefault="0032068A" w:rsidP="00111747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32068A">
        <w:rPr>
          <w:rFonts w:eastAsia="Times New Roman" w:cstheme="minorHAnsi"/>
          <w:color w:val="262626"/>
          <w:szCs w:val="21"/>
        </w:rPr>
        <w:lastRenderedPageBreak/>
        <w:t xml:space="preserve">Comparing states with </w:t>
      </w:r>
      <w:r w:rsidR="00F4393C">
        <w:rPr>
          <w:rFonts w:eastAsia="Times New Roman" w:cstheme="minorHAnsi"/>
          <w:color w:val="262626"/>
          <w:szCs w:val="21"/>
        </w:rPr>
        <w:t xml:space="preserve">an </w:t>
      </w:r>
      <w:r w:rsidRPr="0032068A">
        <w:rPr>
          <w:rFonts w:eastAsia="Times New Roman" w:cstheme="minorHAnsi"/>
          <w:color w:val="262626"/>
          <w:szCs w:val="21"/>
        </w:rPr>
        <w:t>equal average age is very troubling due to the closeness of colors which can mislead the user.</w:t>
      </w:r>
    </w:p>
    <w:p w:rsidR="0032068A" w:rsidRPr="0032068A" w:rsidRDefault="0032068A" w:rsidP="00111747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 w:rsidRPr="0032068A">
        <w:rPr>
          <w:rFonts w:eastAsia="Times New Roman" w:cstheme="minorHAnsi"/>
          <w:color w:val="262626"/>
          <w:szCs w:val="21"/>
        </w:rPr>
        <w:t xml:space="preserve">Even though aesthetically pleasing but does not highlight </w:t>
      </w:r>
      <w:r w:rsidR="00F4393C">
        <w:rPr>
          <w:rFonts w:eastAsia="Times New Roman" w:cstheme="minorHAnsi"/>
          <w:color w:val="262626"/>
          <w:szCs w:val="21"/>
        </w:rPr>
        <w:t xml:space="preserve">the </w:t>
      </w:r>
      <w:r w:rsidRPr="0032068A">
        <w:rPr>
          <w:rFonts w:eastAsia="Times New Roman" w:cstheme="minorHAnsi"/>
          <w:color w:val="262626"/>
          <w:szCs w:val="21"/>
        </w:rPr>
        <w:t>story behind the visualization precisely.</w:t>
      </w:r>
    </w:p>
    <w:p w:rsidR="0032068A" w:rsidRPr="0032068A" w:rsidRDefault="00F4393C" w:rsidP="00111747">
      <w:pPr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theme="minorHAnsi"/>
          <w:color w:val="262626"/>
          <w:szCs w:val="21"/>
        </w:rPr>
      </w:pPr>
      <w:r>
        <w:rPr>
          <w:rFonts w:eastAsia="Times New Roman" w:cstheme="minorHAnsi"/>
          <w:color w:val="262626"/>
          <w:szCs w:val="21"/>
        </w:rPr>
        <w:t>The a</w:t>
      </w:r>
      <w:r w:rsidR="0032068A" w:rsidRPr="0032068A">
        <w:rPr>
          <w:rFonts w:eastAsia="Times New Roman" w:cstheme="minorHAnsi"/>
          <w:color w:val="262626"/>
          <w:szCs w:val="21"/>
        </w:rPr>
        <w:t xml:space="preserve">udience might get lost in the visualization, instead of showing repeated numbers within </w:t>
      </w:r>
      <w:r>
        <w:rPr>
          <w:rFonts w:eastAsia="Times New Roman" w:cstheme="minorHAnsi"/>
          <w:color w:val="262626"/>
          <w:szCs w:val="21"/>
        </w:rPr>
        <w:t xml:space="preserve">the </w:t>
      </w:r>
      <w:r w:rsidR="0032068A" w:rsidRPr="0032068A">
        <w:rPr>
          <w:rFonts w:eastAsia="Times New Roman" w:cstheme="minorHAnsi"/>
          <w:color w:val="262626"/>
          <w:szCs w:val="21"/>
        </w:rPr>
        <w:t xml:space="preserve">state, only </w:t>
      </w:r>
      <w:r>
        <w:rPr>
          <w:rFonts w:eastAsia="Times New Roman" w:cstheme="minorHAnsi"/>
          <w:color w:val="262626"/>
          <w:szCs w:val="21"/>
        </w:rPr>
        <w:t xml:space="preserve">a </w:t>
      </w:r>
      <w:r w:rsidR="0032068A" w:rsidRPr="0032068A">
        <w:rPr>
          <w:rFonts w:eastAsia="Times New Roman" w:cstheme="minorHAnsi"/>
          <w:color w:val="262626"/>
          <w:szCs w:val="21"/>
        </w:rPr>
        <w:t xml:space="preserve">single number with decent </w:t>
      </w:r>
      <w:r>
        <w:rPr>
          <w:rFonts w:eastAsia="Times New Roman" w:cstheme="minorHAnsi"/>
          <w:color w:val="262626"/>
          <w:szCs w:val="21"/>
        </w:rPr>
        <w:t xml:space="preserve">font </w:t>
      </w:r>
      <w:r w:rsidR="0032068A" w:rsidRPr="0032068A">
        <w:rPr>
          <w:rFonts w:eastAsia="Times New Roman" w:cstheme="minorHAnsi"/>
          <w:color w:val="262626"/>
          <w:szCs w:val="21"/>
        </w:rPr>
        <w:t>size should be shown.</w:t>
      </w:r>
    </w:p>
    <w:p w:rsidR="00257F1D" w:rsidRDefault="00620020"/>
    <w:sectPr w:rsidR="00257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F4777"/>
    <w:multiLevelType w:val="multilevel"/>
    <w:tmpl w:val="A1BE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6F6D77"/>
    <w:multiLevelType w:val="multilevel"/>
    <w:tmpl w:val="9CD2B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8B69F0"/>
    <w:multiLevelType w:val="multilevel"/>
    <w:tmpl w:val="D37022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34696552"/>
    <w:multiLevelType w:val="multilevel"/>
    <w:tmpl w:val="699E6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21B72B0"/>
    <w:multiLevelType w:val="multilevel"/>
    <w:tmpl w:val="56D6B7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68641B61"/>
    <w:multiLevelType w:val="multilevel"/>
    <w:tmpl w:val="0A3877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">
    <w:nsid w:val="6F9F07D7"/>
    <w:multiLevelType w:val="multilevel"/>
    <w:tmpl w:val="EAEE3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BB06B03"/>
    <w:multiLevelType w:val="multilevel"/>
    <w:tmpl w:val="3CC2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68A"/>
    <w:rsid w:val="00111747"/>
    <w:rsid w:val="001248E7"/>
    <w:rsid w:val="00144E0A"/>
    <w:rsid w:val="0032068A"/>
    <w:rsid w:val="00564593"/>
    <w:rsid w:val="00620020"/>
    <w:rsid w:val="00672DCE"/>
    <w:rsid w:val="00776B73"/>
    <w:rsid w:val="00870009"/>
    <w:rsid w:val="00B77B14"/>
    <w:rsid w:val="00F4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6058FF-2196-440C-8293-41EBCE158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0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6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0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2068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20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06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26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4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8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07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069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0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Aamol\GitRepos\msdatascience\DataVisualization\Week2\Economist_us-trade-manufactur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Aamol\GitRepos\msdatascience\DataVisualization\Week2\Economist_us-trade-manufacturin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4.0189643813564387E-2"/>
          <c:y val="4.30660460927082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l">
            <a:defRPr sz="1200" b="0" i="0" u="none" strike="noStrike" kern="1200" spc="0" baseline="0">
              <a:ln>
                <a:noFill/>
              </a:ln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'Economist_us-trade-manufacturin'!$B$1</c:f>
              <c:strCache>
                <c:ptCount val="1"/>
                <c:pt idx="0">
                  <c:v>Trade deficit with China in goods, $bn</c:v>
                </c:pt>
              </c:strCache>
            </c:strRef>
          </c:tx>
          <c:spPr>
            <a:solidFill>
              <a:srgbClr val="2D72B1"/>
            </a:solidFill>
            <a:ln>
              <a:noFill/>
            </a:ln>
            <a:effectLst/>
          </c:spPr>
          <c:invertIfNegative val="0"/>
          <c:cat>
            <c:numRef>
              <c:f>'Economist_us-trade-manufacturin'!$A$2:$A$23</c:f>
              <c:numCache>
                <c:formatCode>General</c:formatCode>
                <c:ptCount val="22"/>
                <c:pt idx="0">
                  <c:v>1995</c:v>
                </c:pt>
                <c:pt idx="1">
                  <c:v>1996</c:v>
                </c:pt>
                <c:pt idx="2">
                  <c:v>1997</c:v>
                </c:pt>
                <c:pt idx="3">
                  <c:v>1998</c:v>
                </c:pt>
                <c:pt idx="4">
                  <c:v>1999</c:v>
                </c:pt>
                <c:pt idx="5">
                  <c:v>2000</c:v>
                </c:pt>
                <c:pt idx="6">
                  <c:v>2001</c:v>
                </c:pt>
                <c:pt idx="7">
                  <c:v>2002</c:v>
                </c:pt>
                <c:pt idx="8">
                  <c:v>2003</c:v>
                </c:pt>
                <c:pt idx="9">
                  <c:v>2004</c:v>
                </c:pt>
                <c:pt idx="10">
                  <c:v>2005</c:v>
                </c:pt>
                <c:pt idx="11">
                  <c:v>2006</c:v>
                </c:pt>
                <c:pt idx="12">
                  <c:v>2007</c:v>
                </c:pt>
                <c:pt idx="13">
                  <c:v>2008</c:v>
                </c:pt>
                <c:pt idx="14">
                  <c:v>2009</c:v>
                </c:pt>
                <c:pt idx="15">
                  <c:v>2010</c:v>
                </c:pt>
                <c:pt idx="16">
                  <c:v>2011</c:v>
                </c:pt>
                <c:pt idx="17">
                  <c:v>2012</c:v>
                </c:pt>
                <c:pt idx="18">
                  <c:v>2013</c:v>
                </c:pt>
                <c:pt idx="19">
                  <c:v>2014</c:v>
                </c:pt>
                <c:pt idx="20">
                  <c:v>2015</c:v>
                </c:pt>
                <c:pt idx="21">
                  <c:v>2016</c:v>
                </c:pt>
              </c:numCache>
            </c:numRef>
          </c:cat>
          <c:val>
            <c:numRef>
              <c:f>'Economist_us-trade-manufacturin'!$B$2:$B$23</c:f>
              <c:numCache>
                <c:formatCode>General</c:formatCode>
                <c:ptCount val="22"/>
                <c:pt idx="0">
                  <c:v>-33.789499999999997</c:v>
                </c:pt>
                <c:pt idx="1">
                  <c:v>-39.520200000000003</c:v>
                </c:pt>
                <c:pt idx="2">
                  <c:v>-49.695500000000003</c:v>
                </c:pt>
                <c:pt idx="3">
                  <c:v>-56.927399999999999</c:v>
                </c:pt>
                <c:pt idx="4">
                  <c:v>-68.677099999999996</c:v>
                </c:pt>
                <c:pt idx="5">
                  <c:v>-83.832999999999998</c:v>
                </c:pt>
                <c:pt idx="6">
                  <c:v>-83.096100000000007</c:v>
                </c:pt>
                <c:pt idx="7">
                  <c:v>-103.06489999999999</c:v>
                </c:pt>
                <c:pt idx="8">
                  <c:v>-124.06815400000001</c:v>
                </c:pt>
                <c:pt idx="9">
                  <c:v>-162.25426150000001</c:v>
                </c:pt>
                <c:pt idx="10">
                  <c:v>-202.2780947</c:v>
                </c:pt>
                <c:pt idx="11">
                  <c:v>-234.10134429999999</c:v>
                </c:pt>
                <c:pt idx="12">
                  <c:v>-258.50597540000001</c:v>
                </c:pt>
                <c:pt idx="13">
                  <c:v>-268.03979029999999</c:v>
                </c:pt>
                <c:pt idx="14">
                  <c:v>-226.87720490000001</c:v>
                </c:pt>
                <c:pt idx="15">
                  <c:v>-273.04155270000001</c:v>
                </c:pt>
                <c:pt idx="16">
                  <c:v>-295.249709</c:v>
                </c:pt>
                <c:pt idx="17">
                  <c:v>-315.10246699999999</c:v>
                </c:pt>
                <c:pt idx="18">
                  <c:v>-318.683831</c:v>
                </c:pt>
                <c:pt idx="19">
                  <c:v>-344.86323270000003</c:v>
                </c:pt>
                <c:pt idx="20">
                  <c:v>-367.17293239999998</c:v>
                </c:pt>
                <c:pt idx="21">
                  <c:v>-319.28207700000002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62814856"/>
        <c:axId val="364248328"/>
      </c:barChart>
      <c:catAx>
        <c:axId val="3628148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4248328"/>
        <c:crosses val="autoZero"/>
        <c:auto val="1"/>
        <c:lblAlgn val="ctr"/>
        <c:lblOffset val="100"/>
        <c:noMultiLvlLbl val="0"/>
      </c:catAx>
      <c:valAx>
        <c:axId val="364248328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rgbClr val="F3F3F3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2814856"/>
        <c:crosses val="max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rgbClr val="C2DAF0"/>
    </a:solidFill>
    <a:ln w="9525" cap="flat" cmpd="sng" algn="ctr">
      <a:solidFill>
        <a:schemeClr val="bg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l" rtl="0">
              <a:defRPr lang="en-US" sz="12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 sz="12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rPr>
              <a:t>Manufacturing employment (million)</a:t>
            </a:r>
          </a:p>
        </c:rich>
      </c:tx>
      <c:layout>
        <c:manualLayout>
          <c:xMode val="edge"/>
          <c:yMode val="edge"/>
          <c:x val="3.4833446880760406E-2"/>
          <c:y val="2.65339920634810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l" rtl="0">
            <a:defRPr lang="en-US" sz="12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'Economist_us-trade-manufacturin'!$C$1</c:f>
              <c:strCache>
                <c:ptCount val="1"/>
                <c:pt idx="0">
                  <c:v>Manufacturing employment, m</c:v>
                </c:pt>
              </c:strCache>
            </c:strRef>
          </c:tx>
          <c:spPr>
            <a:ln w="28575" cap="rnd">
              <a:solidFill>
                <a:srgbClr val="2D72B1"/>
              </a:solidFill>
              <a:round/>
            </a:ln>
            <a:effectLst/>
          </c:spPr>
          <c:marker>
            <c:symbol val="none"/>
          </c:marker>
          <c:cat>
            <c:numRef>
              <c:f>'Economist_us-trade-manufacturin'!$A$2:$A$23</c:f>
              <c:numCache>
                <c:formatCode>General</c:formatCode>
                <c:ptCount val="22"/>
                <c:pt idx="0">
                  <c:v>1995</c:v>
                </c:pt>
                <c:pt idx="1">
                  <c:v>1996</c:v>
                </c:pt>
                <c:pt idx="2">
                  <c:v>1997</c:v>
                </c:pt>
                <c:pt idx="3">
                  <c:v>1998</c:v>
                </c:pt>
                <c:pt idx="4">
                  <c:v>1999</c:v>
                </c:pt>
                <c:pt idx="5">
                  <c:v>2000</c:v>
                </c:pt>
                <c:pt idx="6">
                  <c:v>2001</c:v>
                </c:pt>
                <c:pt idx="7">
                  <c:v>2002</c:v>
                </c:pt>
                <c:pt idx="8">
                  <c:v>2003</c:v>
                </c:pt>
                <c:pt idx="9">
                  <c:v>2004</c:v>
                </c:pt>
                <c:pt idx="10">
                  <c:v>2005</c:v>
                </c:pt>
                <c:pt idx="11">
                  <c:v>2006</c:v>
                </c:pt>
                <c:pt idx="12">
                  <c:v>2007</c:v>
                </c:pt>
                <c:pt idx="13">
                  <c:v>2008</c:v>
                </c:pt>
                <c:pt idx="14">
                  <c:v>2009</c:v>
                </c:pt>
                <c:pt idx="15">
                  <c:v>2010</c:v>
                </c:pt>
                <c:pt idx="16">
                  <c:v>2011</c:v>
                </c:pt>
                <c:pt idx="17">
                  <c:v>2012</c:v>
                </c:pt>
                <c:pt idx="18">
                  <c:v>2013</c:v>
                </c:pt>
                <c:pt idx="19">
                  <c:v>2014</c:v>
                </c:pt>
                <c:pt idx="20">
                  <c:v>2015</c:v>
                </c:pt>
                <c:pt idx="21">
                  <c:v>2016</c:v>
                </c:pt>
              </c:numCache>
            </c:numRef>
          </c:cat>
          <c:val>
            <c:numRef>
              <c:f>'Economist_us-trade-manufacturin'!$C$2:$C$23</c:f>
              <c:numCache>
                <c:formatCode>General</c:formatCode>
                <c:ptCount val="22"/>
                <c:pt idx="0">
                  <c:v>17.244583330000001</c:v>
                </c:pt>
                <c:pt idx="1">
                  <c:v>17.236750000000001</c:v>
                </c:pt>
                <c:pt idx="2">
                  <c:v>17.417833330000001</c:v>
                </c:pt>
                <c:pt idx="3">
                  <c:v>17.559999999999999</c:v>
                </c:pt>
                <c:pt idx="4">
                  <c:v>17.32266667</c:v>
                </c:pt>
                <c:pt idx="5">
                  <c:v>17.265250000000002</c:v>
                </c:pt>
                <c:pt idx="6">
                  <c:v>16.440583329999999</c:v>
                </c:pt>
                <c:pt idx="7">
                  <c:v>15.256833329999999</c:v>
                </c:pt>
                <c:pt idx="8">
                  <c:v>14.5085</c:v>
                </c:pt>
                <c:pt idx="9">
                  <c:v>14.31475</c:v>
                </c:pt>
                <c:pt idx="10">
                  <c:v>14.225666670000001</c:v>
                </c:pt>
                <c:pt idx="11">
                  <c:v>14.156499999999999</c:v>
                </c:pt>
                <c:pt idx="12">
                  <c:v>13.87783333</c:v>
                </c:pt>
                <c:pt idx="13">
                  <c:v>13.40341667</c:v>
                </c:pt>
                <c:pt idx="14">
                  <c:v>11.84783333</c:v>
                </c:pt>
                <c:pt idx="15">
                  <c:v>11.52866667</c:v>
                </c:pt>
                <c:pt idx="16">
                  <c:v>11.727083329999999</c:v>
                </c:pt>
                <c:pt idx="17">
                  <c:v>11.927250000000001</c:v>
                </c:pt>
                <c:pt idx="18">
                  <c:v>12.019166670000001</c:v>
                </c:pt>
                <c:pt idx="19">
                  <c:v>12.18416667</c:v>
                </c:pt>
                <c:pt idx="20">
                  <c:v>12.31808333</c:v>
                </c:pt>
                <c:pt idx="21">
                  <c:v>12.28783333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4247936"/>
        <c:axId val="364248720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'Economist_us-trade-manufacturin'!$B$1</c15:sqref>
                        </c15:formulaRef>
                      </c:ext>
                    </c:extLst>
                    <c:strCache>
                      <c:ptCount val="1"/>
                      <c:pt idx="0">
                        <c:v>Trade deficit with China in goods, $bn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'Economist_us-trade-manufacturin'!$A$2:$A$23</c15:sqref>
                        </c15:formulaRef>
                      </c:ext>
                    </c:extLst>
                    <c:numCache>
                      <c:formatCode>General</c:formatCode>
                      <c:ptCount val="22"/>
                      <c:pt idx="0">
                        <c:v>1995</c:v>
                      </c:pt>
                      <c:pt idx="1">
                        <c:v>1996</c:v>
                      </c:pt>
                      <c:pt idx="2">
                        <c:v>1997</c:v>
                      </c:pt>
                      <c:pt idx="3">
                        <c:v>1998</c:v>
                      </c:pt>
                      <c:pt idx="4">
                        <c:v>1999</c:v>
                      </c:pt>
                      <c:pt idx="5">
                        <c:v>2000</c:v>
                      </c:pt>
                      <c:pt idx="6">
                        <c:v>2001</c:v>
                      </c:pt>
                      <c:pt idx="7">
                        <c:v>2002</c:v>
                      </c:pt>
                      <c:pt idx="8">
                        <c:v>2003</c:v>
                      </c:pt>
                      <c:pt idx="9">
                        <c:v>2004</c:v>
                      </c:pt>
                      <c:pt idx="10">
                        <c:v>2005</c:v>
                      </c:pt>
                      <c:pt idx="11">
                        <c:v>2006</c:v>
                      </c:pt>
                      <c:pt idx="12">
                        <c:v>2007</c:v>
                      </c:pt>
                      <c:pt idx="13">
                        <c:v>2008</c:v>
                      </c:pt>
                      <c:pt idx="14">
                        <c:v>2009</c:v>
                      </c:pt>
                      <c:pt idx="15">
                        <c:v>2010</c:v>
                      </c:pt>
                      <c:pt idx="16">
                        <c:v>2011</c:v>
                      </c:pt>
                      <c:pt idx="17">
                        <c:v>2012</c:v>
                      </c:pt>
                      <c:pt idx="18">
                        <c:v>2013</c:v>
                      </c:pt>
                      <c:pt idx="19">
                        <c:v>2014</c:v>
                      </c:pt>
                      <c:pt idx="20">
                        <c:v>2015</c:v>
                      </c:pt>
                      <c:pt idx="21">
                        <c:v>2016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'Economist_us-trade-manufacturin'!$B$2:$B$23</c15:sqref>
                        </c15:formulaRef>
                      </c:ext>
                    </c:extLst>
                    <c:numCache>
                      <c:formatCode>General</c:formatCode>
                      <c:ptCount val="22"/>
                      <c:pt idx="0">
                        <c:v>-33.789499999999997</c:v>
                      </c:pt>
                      <c:pt idx="1">
                        <c:v>-39.520200000000003</c:v>
                      </c:pt>
                      <c:pt idx="2">
                        <c:v>-49.695500000000003</c:v>
                      </c:pt>
                      <c:pt idx="3">
                        <c:v>-56.927399999999999</c:v>
                      </c:pt>
                      <c:pt idx="4">
                        <c:v>-68.677099999999996</c:v>
                      </c:pt>
                      <c:pt idx="5">
                        <c:v>-83.832999999999998</c:v>
                      </c:pt>
                      <c:pt idx="6">
                        <c:v>-83.096100000000007</c:v>
                      </c:pt>
                      <c:pt idx="7">
                        <c:v>-103.06489999999999</c:v>
                      </c:pt>
                      <c:pt idx="8">
                        <c:v>-124.06815400000001</c:v>
                      </c:pt>
                      <c:pt idx="9">
                        <c:v>-162.25426150000001</c:v>
                      </c:pt>
                      <c:pt idx="10">
                        <c:v>-202.2780947</c:v>
                      </c:pt>
                      <c:pt idx="11">
                        <c:v>-234.10134429999999</c:v>
                      </c:pt>
                      <c:pt idx="12">
                        <c:v>-258.50597540000001</c:v>
                      </c:pt>
                      <c:pt idx="13">
                        <c:v>-268.03979029999999</c:v>
                      </c:pt>
                      <c:pt idx="14">
                        <c:v>-226.87720490000001</c:v>
                      </c:pt>
                      <c:pt idx="15">
                        <c:v>-273.04155270000001</c:v>
                      </c:pt>
                      <c:pt idx="16">
                        <c:v>-295.249709</c:v>
                      </c:pt>
                      <c:pt idx="17">
                        <c:v>-315.10246699999999</c:v>
                      </c:pt>
                      <c:pt idx="18">
                        <c:v>-318.683831</c:v>
                      </c:pt>
                      <c:pt idx="19">
                        <c:v>-344.86323270000003</c:v>
                      </c:pt>
                      <c:pt idx="20">
                        <c:v>-367.17293239999998</c:v>
                      </c:pt>
                      <c:pt idx="21">
                        <c:v>-319.28207700000002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3642479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solidFill>
            <a:srgbClr val="C2DAF0"/>
          </a:solidFill>
          <a:ln w="9525" cap="flat" cmpd="sng" algn="ctr">
            <a:solidFill>
              <a:srgbClr val="F3F3F3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4248720"/>
        <c:crossesAt val="0"/>
        <c:auto val="1"/>
        <c:lblAlgn val="ctr"/>
        <c:lblOffset val="100"/>
        <c:noMultiLvlLbl val="0"/>
      </c:catAx>
      <c:valAx>
        <c:axId val="364248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rgbClr val="F3F3F3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42479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rgbClr val="C2DAF0"/>
    </a:solidFill>
    <a:ln w="9525" cap="flat" cmpd="sng" algn="ctr">
      <a:solidFill>
        <a:srgbClr val="C2DAF0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Aamol Gote</dc:creator>
  <cp:keywords/>
  <dc:description/>
  <cp:lastModifiedBy>Aamol Gote</cp:lastModifiedBy>
  <cp:revision>9</cp:revision>
  <dcterms:created xsi:type="dcterms:W3CDTF">2020-01-26T13:48:00Z</dcterms:created>
  <dcterms:modified xsi:type="dcterms:W3CDTF">2020-02-01T14:28:00Z</dcterms:modified>
</cp:coreProperties>
</file>