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product-requirements-document"/>
    <w:p>
      <w:pPr>
        <w:pStyle w:val="Heading1"/>
      </w:pPr>
      <w:r>
        <w:t xml:space="preserve">Product Requirements Document</w:t>
      </w:r>
    </w:p>
    <w:bookmarkStart w:id="20" w:name="X4b1d7976c273b3bd7f4903d876c036f3dd80268"/>
    <w:p>
      <w:pPr>
        <w:pStyle w:val="Heading2"/>
      </w:pPr>
      <w:r>
        <w:t xml:space="preserve">AI Procurement Intelligence Platform (Hospitality Edition)</w:t>
      </w:r>
    </w:p>
    <w:tbl>
      <w:tblPr>
        <w:tblStyle w:val="Table"/>
        <w:tblW w:type="dxa" w:w="9026"/>
        <w:tblLook w:firstRow="0" w:lastRow="0" w:firstColumn="0" w:lastColumn="0" w:noHBand="0" w:noVBand="0" w:val="0000"/>
        <w:jc w:val="start"/>
      </w:tblPr>
      <w:tblGrid>
        <w:gridCol w:w="2851"/>
        <w:gridCol w:w="617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v1.0 — for review, not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(drafted with AI assistance — verify before circulation)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18/07/2026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MVP: Q1 2027 (~5–6 months from kick-off)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(launch) → US → worldwide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 customer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Multi-site premium hospitality group (Houses, restaurants, spas, workspaces)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Enterprise procurement in hospitality is fragmented and manual: vendor evaluation lives in spreadsheets, RFP responses pile up in inboxes, compliance checks (food safety certificates, insurance, modern slavery statements) are chased by hand, and nobody has a single view of the vendor pipeline across sites.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AI Procurement Intelligence Platform</w:t>
      </w:r>
      <w:r>
        <w:t xml:space="preserve"> </w:t>
      </w:r>
      <w:r>
        <w:t xml:space="preserve">is a web-based command centre for hospitality procurement teams. Users upload vendor proposals, contracts, and RFP responses; the platform’s AI extracts key terms, scores vendors against configurable criteria, flags compliance gaps and risks, and generates side-by-side comparison reports. The full vendor lifecycle — shortlisting, approvals, contract status, renewal alerts — is managed from one dashboard.</w:t>
      </w:r>
    </w:p>
    <w:p>
      <w:pPr>
        <w:pStyle w:val="BodyText"/>
      </w:pPr>
      <w:r>
        <w:rPr>
          <w:bCs/>
          <w:b/>
        </w:rPr>
        <w:t xml:space="preserve">The wedge:</w:t>
      </w:r>
      <w:r>
        <w:t xml:space="preserve"> </w:t>
      </w:r>
      <w:r>
        <w:t xml:space="preserve">incumbent suites (SAP Ariba, Coupa) are priced and built for large enterprise ERP estates; newer AI orchestration tools (Zip, Levelpath, Omnea) focus on purchase-intake workflows rather than deep document intelligence. This product leads with</w:t>
      </w:r>
      <w:r>
        <w:t xml:space="preserve"> </w:t>
      </w:r>
      <w:r>
        <w:rPr>
          <w:bCs/>
          <w:b/>
        </w:rPr>
        <w:t xml:space="preserve">document intelligence</w:t>
      </w:r>
      <w:r>
        <w:t xml:space="preserve"> </w:t>
      </w:r>
      <w:r>
        <w:t xml:space="preserve">(AI reading and structuring unstructured vendor documents) for the mid-market hospitality segment — a document-heavy, compliance-heavy, multi-site vertical that generic tools serve poorly.</w:t>
      </w:r>
    </w:p>
    <w:p>
      <w:pPr>
        <w:pStyle w:val="BodyText"/>
      </w:pPr>
      <w:r>
        <w:rPr>
          <w:bCs/>
          <w:b/>
        </w:rPr>
        <w:t xml:space="preserve">MVP goal:</w:t>
      </w:r>
      <w:r>
        <w:t xml:space="preserve"> </w:t>
      </w:r>
      <w:r>
        <w:t xml:space="preserve">3–5 paying pilot customers within 6 months of launch, demonstrably cutting vendor evaluation time by ≥50%.</w:t>
      </w:r>
    </w:p>
    <w:p>
      <w:r>
        <w:pict>
          <v:rect style="width:0;height:1.5pt" o:hralign="center" o:hrstd="t" o:hr="t"/>
        </w:pict>
      </w:r>
    </w:p>
    <w:bookmarkEnd w:id="21"/>
    <w:bookmarkStart w:id="25" w:name="background-problem-statement"/>
    <w:p>
      <w:pPr>
        <w:pStyle w:val="Heading2"/>
      </w:pPr>
      <w:r>
        <w:t xml:space="preserve">2. Background &amp; Problem Statement</w:t>
      </w:r>
    </w:p>
    <w:bookmarkStart w:id="22" w:name="the-problem-today"/>
    <w:p>
      <w:pPr>
        <w:pStyle w:val="Heading3"/>
      </w:pPr>
      <w:r>
        <w:t xml:space="preserve">2.1 The problem today</w:t>
      </w:r>
    </w:p>
    <w:p>
      <w:pPr>
        <w:pStyle w:val="FirstParagraph"/>
      </w:pPr>
      <w:r>
        <w:t xml:space="preserve">A multi-site hospitality group procures across radically different categories — food &amp; beverage, wine &amp; spirits,</w:t>
      </w:r>
      <w:r>
        <w:t xml:space="preserve"> </w:t>
      </w:r>
      <w:r>
        <w:rPr>
          <w:bCs/>
          <w:b/>
        </w:rPr>
        <w:t xml:space="preserve">FF&amp;E</w:t>
      </w:r>
      <w:r>
        <w:t xml:space="preserve"> </w:t>
      </w:r>
      <w:r>
        <w:t xml:space="preserve">(furniture, fixtures &amp; equipment),</w:t>
      </w:r>
      <w:r>
        <w:t xml:space="preserve"> </w:t>
      </w:r>
      <w:r>
        <w:rPr>
          <w:bCs/>
          <w:b/>
        </w:rPr>
        <w:t xml:space="preserve">OS&amp;E</w:t>
      </w:r>
      <w:r>
        <w:t xml:space="preserve"> </w:t>
      </w:r>
      <w:r>
        <w:t xml:space="preserve">(operating supplies &amp; equipment — the smallwares, linen, glassware a site consumes), laundry, cleaning, maintenance contractors, technology, and professional services. Today: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Evaluation is spreadsheet-driven.</w:t>
      </w:r>
      <w:r>
        <w:t xml:space="preserve"> </w:t>
      </w:r>
      <w:r>
        <w:t xml:space="preserve">Each RFP cycle produces a bespoke scoring spreadsheet; criteria and weightings are inconsistent between buyers and between sites.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Responses arrive by email.</w:t>
      </w:r>
      <w:r>
        <w:t xml:space="preserve"> </w:t>
      </w:r>
      <w:r>
        <w:t xml:space="preserve">Proposals, pricing sheets, and certificates are scattered across inboxes and shared drives; version control is guesswork.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Compliance is manual and perishable.</w:t>
      </w:r>
      <w:r>
        <w:t xml:space="preserve"> </w:t>
      </w:r>
      <w:r>
        <w:t xml:space="preserve">Food safety certification (e.g. HACCP documentation, BRC/SALSA audits), public and employer’s liability insurance, allergen documentation, and Modern Slavery Act statements all expire — and expiry tracking is a spreadsheet column somebody forgot to update.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pipeline visibility.</w:t>
      </w:r>
      <w:r>
        <w:t xml:space="preserve"> </w:t>
      </w:r>
      <w:r>
        <w:t xml:space="preserve">Leadership cannot answer</w:t>
      </w:r>
      <w:r>
        <w:t xml:space="preserve"> </w:t>
      </w:r>
      <w:r>
        <w:t xml:space="preserve">“</w:t>
      </w:r>
      <w:r>
        <w:t xml:space="preserve">which contracts renew this quarter?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which vendors are non-compliant right now?</w:t>
      </w:r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w:r>
        <w:t xml:space="preserve">how long does our average sourcing cycle take?</w:t>
      </w:r>
      <w:r>
        <w:t xml:space="preserve">”</w:t>
      </w:r>
      <w:r>
        <w:t xml:space="preserve"> </w:t>
      </w:r>
      <w:r>
        <w:t xml:space="preserve">without a manual trawl.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Multi-site complexity.</w:t>
      </w:r>
      <w:r>
        <w:t xml:space="preserve"> </w:t>
      </w:r>
      <w:r>
        <w:t xml:space="preserve">Central procurement negotiates group agreements while individual sites raise local needs; the two workflows rarely share a system of record.</w:t>
      </w:r>
    </w:p>
    <w:bookmarkEnd w:id="22"/>
    <w:bookmarkStart w:id="23" w:name="why-now"/>
    <w:p>
      <w:pPr>
        <w:pStyle w:val="Heading3"/>
      </w:pPr>
      <w:r>
        <w:t xml:space="preserve">2.2 Why now</w:t>
      </w:r>
    </w:p>
    <w:p>
      <w:pPr>
        <w:numPr>
          <w:ilvl w:val="0"/>
          <w:numId w:val="1002"/>
        </w:numPr>
        <w:pStyle w:val="Compact"/>
      </w:pPr>
      <w:r>
        <w:t xml:space="preserve">The procurement software market is growing from roughly $9.8bn (2025) to $11.1bn (2026) at a ~13.6% CAGR, with cloud deployment dominant and AI copilots the primary demand driver.</w:t>
      </w:r>
    </w:p>
    <w:p>
      <w:pPr>
        <w:numPr>
          <w:ilvl w:val="0"/>
          <w:numId w:val="1002"/>
        </w:numPr>
        <w:pStyle w:val="Compact"/>
      </w:pPr>
      <w:r>
        <w:t xml:space="preserve">Procurement is typically a company’s second-largest cost after payroll, so efficiency gains convert directly to margin — a sharp argument in hospitality’s thin-margin environment.</w:t>
      </w:r>
    </w:p>
    <w:p>
      <w:pPr>
        <w:numPr>
          <w:ilvl w:val="0"/>
          <w:numId w:val="1002"/>
        </w:numPr>
        <w:pStyle w:val="Compact"/>
      </w:pPr>
      <w:r>
        <w:t xml:space="preserve">The AI orchestration category (Zip, Levelpath, ORO Labs, Omnea, Pactum et al.) has raised $1bn+ collectively, validating buyer appetite — but these players are horizontal. No breakout leader owns hospitality-specific procurement intelligence.</w:t>
      </w:r>
    </w:p>
    <w:bookmarkEnd w:id="23"/>
    <w:bookmarkStart w:id="24" w:name="product-principles"/>
    <w:p>
      <w:pPr>
        <w:pStyle w:val="Heading3"/>
      </w:pPr>
      <w:r>
        <w:t xml:space="preserve">2.3 Product principles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Human-in-the-loop always.</w:t>
      </w:r>
      <w:r>
        <w:t xml:space="preserve"> </w:t>
      </w:r>
      <w:r>
        <w:t xml:space="preserve">AI drafts; humans decide. No AI output becomes official without human confirmation.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Compliance is a first-class object,</w:t>
      </w:r>
      <w:r>
        <w:t xml:space="preserve"> </w:t>
      </w:r>
      <w:r>
        <w:t xml:space="preserve">not a checklist afterthought — certificates have owners, statuses, and expiry clocks.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Zero-friction vendor experience.</w:t>
      </w:r>
      <w:r>
        <w:t xml:space="preserve"> </w:t>
      </w:r>
      <w:r>
        <w:t xml:space="preserve">Vendors submit via magic link; if vendors hate the portal, the platform dies.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Multi-site from day one.</w:t>
      </w:r>
      <w:r>
        <w:t xml:space="preserve"> </w:t>
      </w:r>
      <w:r>
        <w:t xml:space="preserve">Sites (Houses/venues) are a core data dimension, not a bolt-on.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Configurable, not custom.</w:t>
      </w:r>
      <w:r>
        <w:t xml:space="preserve"> </w:t>
      </w:r>
      <w:r>
        <w:t xml:space="preserve">Templates with editable weightings — never per-customer code forks.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goals-success-metrics"/>
    <w:p>
      <w:pPr>
        <w:pStyle w:val="Heading2"/>
      </w:pPr>
      <w:r>
        <w:t xml:space="preserve">3. Goals &amp; Success Metrics</w:t>
      </w:r>
    </w:p>
    <w:bookmarkStart w:id="26" w:name="business-goals-12-months-post-launch"/>
    <w:p>
      <w:pPr>
        <w:pStyle w:val="Heading3"/>
      </w:pPr>
      <w:r>
        <w:t xml:space="preserve">3.1 Business goals (12 months post-launch)</w:t>
      </w:r>
    </w:p>
    <w:tbl>
      <w:tblPr>
        <w:tblStyle w:val="Table"/>
        <w:tblW w:type="dxa" w:w="9026"/>
        <w:tblLook w:firstRow="1" w:lastRow="0" w:firstColumn="0" w:lastColumn="0" w:noHBand="0" w:noVBand="0" w:val="0020"/>
        <w:jc w:val="start"/>
      </w:tblPr>
      <w:tblGrid>
        <w:gridCol w:w="5059"/>
        <w:gridCol w:w="39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Paying pilot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within 6 months of 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Pilot-to-renewal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revenue retention (year 1 cohort)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 2 Type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 within 12 months</w:t>
            </w:r>
          </w:p>
        </w:tc>
      </w:tr>
    </w:tbl>
    <w:bookmarkEnd w:id="26"/>
    <w:bookmarkStart w:id="27" w:name="product-success-metrics"/>
    <w:p>
      <w:pPr>
        <w:pStyle w:val="Heading3"/>
      </w:pPr>
      <w:r>
        <w:t xml:space="preserve">3.2 Product success metrics</w:t>
      </w:r>
    </w:p>
    <w:tbl>
      <w:tblPr>
        <w:tblStyle w:val="Table"/>
        <w:tblW w:type="dxa" w:w="9026"/>
        <w:tblLook w:firstRow="1" w:lastRow="0" w:firstColumn="0" w:lastColumn="0" w:noHBand="0" w:noVBand="0" w:val="0020"/>
        <w:jc w:val="start"/>
      </w:tblPr>
      <w:tblGrid>
        <w:gridCol w:w="2506"/>
        <w:gridCol w:w="4645"/>
        <w:gridCol w:w="18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 cycle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of first response → approved shortlist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50% reduction vs customer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Extraction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key terms correctly extracted (human-verified sample)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active vendors with all mandatory documents valid &amp; in-date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 per 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Renewal alert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active contracts with renewal alerts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active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licensed procurement seats active 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submission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invited vendors completing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</w:tr>
    </w:tbl>
    <w:bookmarkEnd w:id="27"/>
    <w:bookmarkStart w:id="28" w:name="non-goals-v1"/>
    <w:p>
      <w:pPr>
        <w:pStyle w:val="Heading3"/>
      </w:pPr>
      <w:r>
        <w:t xml:space="preserve">3.3 Non-goals (v1)</w:t>
      </w:r>
    </w:p>
    <w:p>
      <w:pPr>
        <w:numPr>
          <w:ilvl w:val="0"/>
          <w:numId w:val="1004"/>
        </w:numPr>
        <w:pStyle w:val="Compact"/>
      </w:pPr>
      <w:r>
        <w:t xml:space="preserve">RFP authoring and issuing (platform starts when responses arrive)</w:t>
      </w:r>
    </w:p>
    <w:p>
      <w:pPr>
        <w:numPr>
          <w:ilvl w:val="0"/>
          <w:numId w:val="1004"/>
        </w:numPr>
        <w:pStyle w:val="Compact"/>
      </w:pPr>
      <w:r>
        <w:t xml:space="preserve">Purchase orders, invoicing, payments (</w:t>
      </w:r>
      <w:r>
        <w:rPr>
          <w:bCs/>
          <w:b/>
        </w:rPr>
        <w:t xml:space="preserve">P2P</w:t>
      </w:r>
      <w:r>
        <w:t xml:space="preserve"> </w:t>
      </w:r>
      <w:r>
        <w:t xml:space="preserve">— procure-to-pay — is explicitly out of scope)</w:t>
      </w:r>
    </w:p>
    <w:p>
      <w:pPr>
        <w:numPr>
          <w:ilvl w:val="0"/>
          <w:numId w:val="1004"/>
        </w:numPr>
        <w:pStyle w:val="Compact"/>
      </w:pPr>
      <w:r>
        <w:t xml:space="preserve">Spend analytics across ERP data</w:t>
      </w:r>
    </w:p>
    <w:p>
      <w:pPr>
        <w:numPr>
          <w:ilvl w:val="0"/>
          <w:numId w:val="1004"/>
        </w:numPr>
        <w:pStyle w:val="Compact"/>
      </w:pPr>
      <w:r>
        <w:t xml:space="preserve">External risk data feeds (sanctions, credit ratings, adverse media)</w:t>
      </w:r>
    </w:p>
    <w:p>
      <w:pPr>
        <w:numPr>
          <w:ilvl w:val="0"/>
          <w:numId w:val="1004"/>
        </w:numPr>
        <w:pStyle w:val="Compact"/>
      </w:pPr>
      <w:r>
        <w:t xml:space="preserve">Mobile native apps (responsive web only)</w:t>
      </w:r>
    </w:p>
    <w:p>
      <w:pPr>
        <w:numPr>
          <w:ilvl w:val="0"/>
          <w:numId w:val="1004"/>
        </w:numPr>
        <w:pStyle w:val="Compact"/>
      </w:pPr>
      <w:r>
        <w:t xml:space="preserve">E-auctions / reverse auctions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arget-market-positioning"/>
    <w:p>
      <w:pPr>
        <w:pStyle w:val="Heading2"/>
      </w:pPr>
      <w:r>
        <w:t xml:space="preserve">4. Target Market &amp; Positioning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Segment:</w:t>
      </w:r>
      <w:r>
        <w:t xml:space="preserve"> </w:t>
      </w:r>
      <w:r>
        <w:t xml:space="preserve">Mid-market hospitality groups, 200–2,000 employees; multi-site operators (members’ clubs, hotel groups, restaurant groups, spa/wellness chains, co-working operators).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Launch geography:</w:t>
      </w:r>
      <w:r>
        <w:t xml:space="preserve"> </w:t>
      </w:r>
      <w:r>
        <w:t xml:space="preserve">UK first (UK GDPR-native, GBP-primary), with US expansion in Phase 2 and worldwide thereafter. Multi-currency (GBP, USD, EUR) and multi-region data residency are architectural requirements from day one, even if only the UK/EU region ships at GA.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Positioning statement:</w:t>
      </w:r>
      <w:r>
        <w:t xml:space="preserve"> </w:t>
      </w:r>
      <w:r>
        <w:rPr>
          <w:iCs/>
          <w:i/>
        </w:rPr>
        <w:t xml:space="preserve">For procurement teams at multi-site hospitality groups who drown in vendor documents and compliance chasing, the AI Procurement Intelligence Platform is a vendor-lifecycle command centre that reads, scores, and monitors every proposal and contract — unlike generic intake tools that only route requests, or enterprise suites priced for the Fortune 500.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Competitive frame:</w:t>
      </w:r>
    </w:p>
    <w:p>
      <w:pPr>
        <w:numPr>
          <w:ilvl w:val="1"/>
          <w:numId w:val="1006"/>
        </w:numPr>
        <w:pStyle w:val="Compact"/>
      </w:pPr>
      <w:r>
        <w:rPr>
          <w:iCs/>
          <w:i/>
        </w:rPr>
        <w:t xml:space="preserve">Enterprise suites (SAP Ariba, Coupa, Ivalua, JAGGAER):</w:t>
      </w:r>
      <w:r>
        <w:t xml:space="preserve"> </w:t>
      </w:r>
      <w:r>
        <w:t xml:space="preserve">deep but heavy, ERP-anchored, priced beyond mid-market.</w:t>
      </w:r>
    </w:p>
    <w:p>
      <w:pPr>
        <w:numPr>
          <w:ilvl w:val="1"/>
          <w:numId w:val="1006"/>
        </w:numPr>
        <w:pStyle w:val="Compact"/>
      </w:pPr>
      <w:r>
        <w:rPr>
          <w:iCs/>
          <w:i/>
        </w:rPr>
        <w:t xml:space="preserve">AI intake/orchestration (Zip, Levelpath, Omnea, ORO Labs):</w:t>
      </w:r>
      <w:r>
        <w:t xml:space="preserve"> </w:t>
      </w:r>
      <w:r>
        <w:t xml:space="preserve">strong at request routing; weaker on deep document evaluation and vertical compliance.</w:t>
      </w:r>
    </w:p>
    <w:p>
      <w:pPr>
        <w:numPr>
          <w:ilvl w:val="1"/>
          <w:numId w:val="1006"/>
        </w:numPr>
        <w:pStyle w:val="Compact"/>
      </w:pPr>
      <w:r>
        <w:rPr>
          <w:iCs/>
          <w:i/>
        </w:rPr>
        <w:t xml:space="preserve">Spreadsheets + email (the real competitor):</w:t>
      </w:r>
      <w:r>
        <w:t xml:space="preserve"> </w:t>
      </w:r>
      <w:r>
        <w:t xml:space="preserve">free, familiar, and catastrophically opaque.</w:t>
      </w:r>
    </w:p>
    <w:p>
      <w:r>
        <w:pict>
          <v:rect style="width:0;height:1.5pt" o:hralign="center" o:hrstd="t" o:hr="t"/>
        </w:pict>
      </w:r>
    </w:p>
    <w:bookmarkEnd w:id="30"/>
    <w:bookmarkStart w:id="36" w:name="users-personas"/>
    <w:p>
      <w:pPr>
        <w:pStyle w:val="Heading2"/>
      </w:pPr>
      <w:r>
        <w:t xml:space="preserve">5. Users &amp; Personas</w:t>
      </w:r>
    </w:p>
    <w:p>
      <w:pPr>
        <w:pStyle w:val="FirstParagraph"/>
      </w:pPr>
      <w:r>
        <w:t xml:space="preserve">Five roles. All illustrative names below are fictional placeholders.</w:t>
      </w:r>
    </w:p>
    <w:bookmarkStart w:id="31" w:name="procurement-manager-primary-user"/>
    <w:p>
      <w:pPr>
        <w:pStyle w:val="Heading3"/>
      </w:pPr>
      <w:r>
        <w:t xml:space="preserve">5.1 Procurement Manager (primary user)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Profile:</w:t>
      </w:r>
      <w:r>
        <w:t xml:space="preserve"> </w:t>
      </w:r>
      <w:r>
        <w:t xml:space="preserve">e.g. </w:t>
      </w:r>
      <w:r>
        <w:t xml:space="preserve">“</w:t>
      </w:r>
      <w:r>
        <w:t xml:space="preserve">Priya, Group Procurement Manager</w:t>
      </w:r>
      <w:r>
        <w:t xml:space="preserve">”</w:t>
      </w:r>
      <w:r>
        <w:t xml:space="preserve"> </w:t>
      </w:r>
      <w:r>
        <w:t xml:space="preserve">— runs sourcing events across F&amp;B, FF&amp;E, and services for 12 sites; team of 3.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Jobs to be done:</w:t>
      </w:r>
      <w:r>
        <w:t xml:space="preserve"> </w:t>
      </w:r>
      <w:r>
        <w:t xml:space="preserve">launch evaluation events, invite vendors, review AI-extracted terms and scores, build shortlists, drive approvals, monitor contract statuses and renewals.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Pain today:</w:t>
      </w:r>
      <w:r>
        <w:t xml:space="preserve"> </w:t>
      </w:r>
      <w:r>
        <w:t xml:space="preserve">spreadsheet sprawl, email archaeology, compliance chasing.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Success looks like:</w:t>
      </w:r>
      <w:r>
        <w:t xml:space="preserve"> </w:t>
      </w:r>
      <w:r>
        <w:t xml:space="preserve">shortlist a 15-vendor RFP in days, not weeks, with a defensible audit trail.</w:t>
      </w:r>
    </w:p>
    <w:bookmarkEnd w:id="31"/>
    <w:bookmarkStart w:id="32" w:name="X16daa4ac9a734f374fe1c16fc9df6decc75211f"/>
    <w:p>
      <w:pPr>
        <w:pStyle w:val="Heading3"/>
      </w:pPr>
      <w:r>
        <w:t xml:space="preserve">5.2 Department Head (internal requester/reviewer)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Profile:</w:t>
      </w:r>
      <w:r>
        <w:t xml:space="preserve"> </w:t>
      </w:r>
      <w:r>
        <w:t xml:space="preserve">e.g. </w:t>
      </w:r>
      <w:r>
        <w:t xml:space="preserve">“</w:t>
      </w:r>
      <w:r>
        <w:t xml:space="preserve">Marco, Executive Chef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Dana, Head of Housekeeping</w:t>
      </w:r>
      <w:r>
        <w:t xml:space="preserve">”</w:t>
      </w:r>
      <w:r>
        <w:t xml:space="preserve"> </w:t>
      </w:r>
      <w:r>
        <w:t xml:space="preserve">at a single site.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Jobs to be done:</w:t>
      </w:r>
      <w:r>
        <w:t xml:space="preserve"> </w:t>
      </w:r>
      <w:r>
        <w:t xml:space="preserve">raise a sourcing requirement (</w:t>
      </w:r>
      <w:r>
        <w:t xml:space="preserve">“</w:t>
      </w:r>
      <w:r>
        <w:t xml:space="preserve">we need a new fresh-fish supplier for two sites</w:t>
      </w:r>
      <w:r>
        <w:t xml:space="preserve">”</w:t>
      </w:r>
      <w:r>
        <w:t xml:space="preserve">), review vendor evaluations relevant to their department, comment and endorse.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Access:</w:t>
      </w:r>
      <w:r>
        <w:t xml:space="preserve"> </w:t>
      </w:r>
      <w:r>
        <w:t xml:space="preserve">scoped to their site(s) and department; cannot see unrelated events or commercial terms outside their remit.</w:t>
      </w:r>
    </w:p>
    <w:bookmarkEnd w:id="32"/>
    <w:bookmarkStart w:id="33" w:name="finance-approver"/>
    <w:p>
      <w:pPr>
        <w:pStyle w:val="Heading3"/>
      </w:pPr>
      <w:r>
        <w:t xml:space="preserve">5.3 Finance Approver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Profile:</w:t>
      </w:r>
      <w:r>
        <w:t xml:space="preserve"> </w:t>
      </w:r>
      <w:r>
        <w:t xml:space="preserve">e.g. </w:t>
      </w:r>
      <w:r>
        <w:t xml:space="preserve">“</w:t>
      </w:r>
      <w:r>
        <w:t xml:space="preserve">Sam, Finance Business Partner.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Jobs to be done:</w:t>
      </w:r>
      <w:r>
        <w:t xml:space="preserve"> </w:t>
      </w:r>
      <w:r>
        <w:t xml:space="preserve">approve or reject vendor selections and contracts above threshold values; view commercial terms, payment terms, and total contract value in GBP (or local currency with GBP conversion).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Success looks like:</w:t>
      </w:r>
      <w:r>
        <w:t xml:space="preserve"> </w:t>
      </w:r>
      <w:r>
        <w:t xml:space="preserve">a one-screen approval view — recommendation, score summary, key commercial terms, compliance status, and full document access — with approve/reject/request-changes actions.</w:t>
      </w:r>
    </w:p>
    <w:bookmarkEnd w:id="33"/>
    <w:bookmarkStart w:id="34" w:name="vendor-external"/>
    <w:p>
      <w:pPr>
        <w:pStyle w:val="Heading3"/>
      </w:pPr>
      <w:r>
        <w:t xml:space="preserve">5.4 Vendor (external)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Profile:</w:t>
      </w:r>
      <w:r>
        <w:t xml:space="preserve"> </w:t>
      </w:r>
      <w:r>
        <w:t xml:space="preserve">e.g. </w:t>
      </w:r>
      <w:r>
        <w:t xml:space="preserve">“</w:t>
      </w:r>
      <w:r>
        <w:t xml:space="preserve">Fieldgate Produce Ltd</w:t>
      </w:r>
      <w:r>
        <w:t xml:space="preserve">”</w:t>
      </w:r>
      <w:r>
        <w:t xml:space="preserve"> </w:t>
      </w:r>
      <w:r>
        <w:t xml:space="preserve">— a fictional regional food supplier.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Jobs to be done:</w:t>
      </w:r>
      <w:r>
        <w:t xml:space="preserve"> </w:t>
      </w:r>
      <w:r>
        <w:t xml:space="preserve">receive an invitation, upload proposal and compliance documents via magic link, answer structured questions, track submission status, receive outcome and document-expiry notifications.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Constraint:</w:t>
      </w:r>
      <w:r>
        <w:t xml:space="preserve"> </w:t>
      </w:r>
      <w:r>
        <w:t xml:space="preserve">no password-based account in v1; magic-link access scoped to their own submissions only. Vendors never pay to participate.</w:t>
      </w:r>
    </w:p>
    <w:bookmarkEnd w:id="34"/>
    <w:bookmarkStart w:id="35" w:name="org-admin"/>
    <w:p>
      <w:pPr>
        <w:pStyle w:val="Heading3"/>
      </w:pPr>
      <w:r>
        <w:t xml:space="preserve">5.5 Org Admin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Profile:</w:t>
      </w:r>
      <w:r>
        <w:t xml:space="preserve"> </w:t>
      </w:r>
      <w:r>
        <w:t xml:space="preserve">often a senior Procurement Manager wearing a second hat.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Jobs to be done:</w:t>
      </w:r>
      <w:r>
        <w:t xml:space="preserve"> </w:t>
      </w:r>
      <w:r>
        <w:t xml:space="preserve">manage users, roles, and site assignments; configure scoring templates, compliance document requirements per category, approval workflow rules and thresholds; manage SSO; view audit logs.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scope-overview"/>
    <w:p>
      <w:pPr>
        <w:pStyle w:val="Heading2"/>
      </w:pPr>
      <w:r>
        <w:t xml:space="preserve">6. Scope Overview</w:t>
      </w:r>
    </w:p>
    <w:bookmarkStart w:id="37" w:name="mvp-v1"/>
    <w:p>
      <w:pPr>
        <w:pStyle w:val="Heading3"/>
      </w:pPr>
      <w:r>
        <w:t xml:space="preserve">6.1 MVP (v1)</w:t>
      </w:r>
    </w:p>
    <w:tbl>
      <w:tblPr>
        <w:tblStyle w:val="Table"/>
        <w:tblW w:type="dxa" w:w="9026"/>
        <w:tblLook w:firstRow="1" w:lastRow="0" w:firstColumn="0" w:lastColumn="0" w:noHBand="0" w:noVBand="0" w:val="0020"/>
        <w:jc w:val="start"/>
      </w:tblPr>
      <w:tblGrid>
        <w:gridCol w:w="1310"/>
        <w:gridCol w:w="3063"/>
        <w:gridCol w:w="46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Organisation, sites &amp; 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Multi-site org model, 5 roles, 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of record for vendor organisations &amp; 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for an RFP/sourcing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submission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Magic-link upload &amp; structured questionnaire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document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terms from PDFs/DOCX/XLSX incl. OCR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vendor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Template-based, weighted, human-confirmed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Required-document rules, gap flags, expiry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Side-by-side vendor comparison, exportable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Single-chain, threshold-based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register &amp; renewal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Statuses, key dates, automated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&amp;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visibility, email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log of key actions</w:t>
            </w:r>
          </w:p>
        </w:tc>
      </w:tr>
    </w:tbl>
    <w:bookmarkEnd w:id="37"/>
    <w:bookmarkStart w:id="38" w:name="phase-2-post-mvp-indicative"/>
    <w:p>
      <w:pPr>
        <w:pStyle w:val="Heading3"/>
      </w:pPr>
      <w:r>
        <w:t xml:space="preserve">6.2 Phase 2 (post-MVP, indicative)</w:t>
      </w:r>
    </w:p>
    <w:p>
      <w:pPr>
        <w:pStyle w:val="FirstParagraph"/>
      </w:pPr>
      <w:r>
        <w:t xml:space="preserve">RFP authoring &amp; issuing · multi-stage/parallel approvals · external risk feeds (sanctions, credit, adverse media, Companies House) · Slack/Teams notifications · DocuSign integration · ERP connectors · vendor full accounts &amp; self-service profile maintenance · spend analytics · US data region · additional languages.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2" w:name="functional-requirements"/>
    <w:p>
      <w:pPr>
        <w:pStyle w:val="Heading2"/>
      </w:pPr>
      <w:r>
        <w:t xml:space="preserve">7. Functional Requirements</w:t>
      </w:r>
    </w:p>
    <w:p>
      <w:pPr>
        <w:pStyle w:val="FirstParagraph"/>
      </w:pPr>
      <w:r>
        <w:t xml:space="preserve">Requirement IDs use MoSCoW priorities:</w:t>
      </w:r>
      <w:r>
        <w:t xml:space="preserve"> </w:t>
      </w:r>
      <w:r>
        <w:rPr>
          <w:bCs/>
          <w:b/>
        </w:rPr>
        <w:t xml:space="preserve">M</w:t>
      </w:r>
      <w:r>
        <w:t xml:space="preserve"> </w:t>
      </w:r>
      <w:r>
        <w:t xml:space="preserve">= must-have (MVP),</w:t>
      </w:r>
      <w:r>
        <w:t xml:space="preserve"> </w:t>
      </w:r>
      <w:r>
        <w:rPr>
          <w:bCs/>
          <w:b/>
        </w:rPr>
        <w:t xml:space="preserve">S</w:t>
      </w:r>
      <w:r>
        <w:t xml:space="preserve"> </w:t>
      </w:r>
      <w:r>
        <w:t xml:space="preserve">= should-have (MVP if capacity allows),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= Phase 2.</w:t>
      </w:r>
    </w:p>
    <w:bookmarkStart w:id="40" w:name="f1-organisation-sites-user-management"/>
    <w:p>
      <w:pPr>
        <w:pStyle w:val="Heading3"/>
      </w:pPr>
      <w:r>
        <w:t xml:space="preserve">F1 — Organisation, Sites &amp; User Management</w:t>
      </w:r>
    </w:p>
    <w:tbl>
      <w:tblPr>
        <w:tblStyle w:val="Table"/>
        <w:tblW w:type="dxa" w:w="9026"/>
        <w:tblLook w:firstRow="1" w:lastRow="0" w:firstColumn="0" w:lastColumn="0" w:noHBand="0" w:noVBand="0" w:val="0020"/>
        <w:jc w:val="start"/>
      </w:tblPr>
      <w:tblGrid>
        <w:gridCol w:w="1000"/>
        <w:gridCol w:w="6856"/>
        <w:gridCol w:w="11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organisation contains one or more</w:t>
            </w:r>
            <w:r>
              <w:t xml:space="preserve"> </w:t>
            </w:r>
            <w:r>
              <w:rPr>
                <w:bCs/>
                <w:b/>
              </w:rPr>
              <w:t xml:space="preserve">sites</w:t>
            </w:r>
            <w:r>
              <w:t xml:space="preserve"> </w:t>
            </w:r>
            <w:r>
              <w:t xml:space="preserve">(physical venues). Every requirement, event, and contract is associated with one or more sites, or marked</w:t>
            </w:r>
            <w:r>
              <w:t xml:space="preserve"> </w:t>
            </w:r>
            <w:r>
              <w:t xml:space="preserve">“</w:t>
            </w:r>
            <w:r>
              <w:t xml:space="preserve">group-wide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roles: Procurement Manager, Department Head, Finance Approver, Vendor, Org Admin. Role-based access control throughout.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Heads are scoped to assigned site(s) and department(s); they see only events and evaluations within scope.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 via Google Workspace and Microsoft Entra ID (</w:t>
            </w:r>
            <w:r>
              <w:rPr>
                <w:bCs/>
                <w:b/>
              </w:rPr>
              <w:t xml:space="preserve">SAML/OIDC</w:t>
            </w:r>
            <w:r>
              <w:t xml:space="preserve"> </w:t>
            </w:r>
            <w:r>
              <w:t xml:space="preserve">— standard single-sign-on protocols); email+password fallback with mandatory MFA for non-SSO users.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 can invite, deactivate, and re-assign users; deactivation revokes access immediately.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 are configurable per org (e.g. Kitchen, Bar, Housekeeping, Facilities, IT, Marketing).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bookmarkEnd w:id="40"/>
    <w:bookmarkStart w:id="41" w:name="f2-vendor-directory"/>
    <w:p>
      <w:pPr>
        <w:pStyle w:val="Heading3"/>
      </w:pPr>
      <w:r>
        <w:t xml:space="preserve">F2 — Vendor Directory</w:t>
      </w:r>
    </w:p>
    <w:tbl>
      <w:tblPr>
        <w:tblStyle w:val="Table"/>
        <w:tblW w:type="dxa" w:w="9026"/>
        <w:tblLook w:firstRow="1" w:lastRow="0" w:firstColumn="0" w:lastColumn="0" w:noHBand="0" w:noVBand="0" w:val="0020"/>
        <w:jc w:val="start"/>
      </w:tblPr>
      <w:tblGrid>
        <w:gridCol w:w="1000"/>
        <w:gridCol w:w="6856"/>
        <w:gridCol w:w="11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record: legal name, trading name, registration number, country, categories supplied (from a hospitality-tuned taxonomy: F&amp;B – Food, F&amp;B – Beverage/Wine &amp; Spirits, FF&amp;E, OS&amp;E, Laundry &amp; Linen, Cleaning, Maintenance &amp; Contractors, Technology, Professional Services, Other), contacts, sites served, status (Prospective / Under Evaluation / Approved / Active / Suspended / Archived).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profile per vendor: required documents (per F7 rules), each with status (Missing / Submitted / Verified / Expiring ≤60 days / Expired).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list filterable by category, site, status, compliance state; full-text search.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detection on creation (fuzzy match on name + registration number).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import of existing vendor list via CSV template.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bookmarkEnd w:id="41"/>
    <w:bookmarkStart w:id="42" w:name="f3-evaluation-events"/>
    <w:p>
      <w:pPr>
        <w:pStyle w:val="Heading3"/>
      </w:pPr>
      <w:r>
        <w:t xml:space="preserve">F3 — Evaluation Events</w:t>
      </w:r>
    </w:p>
    <w:tbl>
      <w:tblPr>
        <w:tblStyle w:val="Table"/>
        <w:tblW w:type="dxa" w:w="9026"/>
        <w:tblLook w:firstRow="1" w:lastRow="0" w:firstColumn="0" w:lastColumn="0" w:noHBand="0" w:noVBand="0" w:val="0020"/>
        <w:jc w:val="start"/>
      </w:tblPr>
      <w:tblGrid>
        <w:gridCol w:w="1000"/>
        <w:gridCol w:w="6856"/>
        <w:gridCol w:w="11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Department Head or Procurement Manager can raise a</w:t>
            </w:r>
            <w:r>
              <w:t xml:space="preserve"> </w:t>
            </w:r>
            <w:r>
              <w:rPr>
                <w:bCs/>
                <w:b/>
              </w:rPr>
              <w:t xml:space="preserve">requirement</w:t>
            </w:r>
            <w:r>
              <w:t xml:space="preserve"> </w:t>
            </w:r>
            <w:r>
              <w:t xml:space="preserve">(title, description, category, site(s), estimated annual value in GBP or local currency, needed-by date).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Procurement Manager converts a requirement into an</w:t>
            </w:r>
            <w:r>
              <w:t xml:space="preserve"> </w:t>
            </w:r>
            <w:r>
              <w:rPr>
                <w:bCs/>
                <w:b/>
              </w:rPr>
              <w:t xml:space="preserve">evaluation event</w:t>
            </w:r>
            <w:r>
              <w:t xml:space="preserve">, attaching a scoring template (F6), compliance rule set (F7), structured questionnaire, and submission deadline.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Vendors are invited to an event from the directory or by email address (auto-creating a prospective vendor record).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statuses: Draft → Open for Submissions → Under Evaluation → Shortlisted → In Approval → Awarded / Closed–No Award. All transitions logged.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reminders to non-submitted vendors at T-7, T-3, T-1 days (configurable).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bookmarkEnd w:id="42"/>
    <w:bookmarkStart w:id="43" w:name="f4-vendor-submission-portal"/>
    <w:p>
      <w:pPr>
        <w:pStyle w:val="Heading3"/>
      </w:pPr>
      <w:r>
        <w:t xml:space="preserve">F4 — Vendor Submission Portal</w:t>
      </w:r>
    </w:p>
    <w:tbl>
      <w:tblPr>
        <w:tblStyle w:val="Table"/>
        <w:tblW w:type="dxa" w:w="9026"/>
        <w:tblLook w:firstRow="1" w:lastRow="0" w:firstColumn="0" w:lastColumn="0" w:noHBand="0" w:noVBand="0" w:val="0020"/>
        <w:jc w:val="start"/>
      </w:tblPr>
      <w:tblGrid>
        <w:gridCol w:w="1000"/>
        <w:gridCol w:w="6856"/>
        <w:gridCol w:w="11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Vendors access via</w:t>
            </w:r>
            <w:r>
              <w:t xml:space="preserve"> </w:t>
            </w:r>
            <w:r>
              <w:rPr>
                <w:bCs/>
                <w:b/>
              </w:rPr>
              <w:t xml:space="preserve">magic link</w:t>
            </w:r>
            <w:r>
              <w:t xml:space="preserve"> </w:t>
            </w:r>
            <w:r>
              <w:t xml:space="preserve">(single-use, expiring, re-requestable link — no password). Links scoped to one vendor + one event.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 includes: file uploads (PDF, DOCX, XLSX, and scanned PDFs; ≤50 MB/file, ≤25 files), structured questionnaire answers, and compliance documents against the event’s required list with self-declared expiry dates.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Vendors can save drafts and submit before the deadline; edits post-submission re-open only if the Procurement Manager permits.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Vendors see the status of their own submission only (Received / Under Evaluation / Shortlisted / Unsuccessful / Awarded) — never competitor information.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vendor notifications: invitation, deadline reminders, receipt confirmation, outcome, and compliance-document expiry warnings (90/60/30 days).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is white-labelled with the customer organisation’s name and logo.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bookmarkEnd w:id="43"/>
    <w:bookmarkStart w:id="44" w:name="f5-ai-document-extraction"/>
    <w:p>
      <w:pPr>
        <w:pStyle w:val="Heading3"/>
      </w:pPr>
      <w:r>
        <w:t xml:space="preserve">F5 — AI Document Extraction</w:t>
      </w:r>
    </w:p>
    <w:tbl>
      <w:tblPr>
        <w:tblStyle w:val="Table"/>
        <w:tblW w:type="dxa" w:w="9026"/>
        <w:tblLook w:firstRow="1" w:lastRow="0" w:firstColumn="0" w:lastColumn="0" w:noHBand="0" w:noVBand="0" w:val="0020"/>
        <w:jc w:val="start"/>
      </w:tblPr>
      <w:tblGrid>
        <w:gridCol w:w="1000"/>
        <w:gridCol w:w="6856"/>
        <w:gridCol w:w="11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upload, the platform extracts a defined key-term set: pricing structure and headline prices, currency, payment terms, contract duration, notice/termination terms, SLAs, delivery terms (incl. delivery days/frequency — critical for fresh F&amp;B), minimum order values, price-review/indexation clauses, liability caps, insurance levels, data protection terms, and named certifications.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Scanned documents pass through</w:t>
            </w:r>
            <w:r>
              <w:t xml:space="preserve"> </w:t>
            </w:r>
            <w:r>
              <w:rPr>
                <w:bCs/>
                <w:b/>
              </w:rPr>
              <w:t xml:space="preserve">OCR</w:t>
            </w:r>
            <w:r>
              <w:t xml:space="preserve"> </w:t>
            </w:r>
            <w:r>
              <w:t xml:space="preserve">(optical character recognition) before extraction.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extracted field carries a</w:t>
            </w:r>
            <w:r>
              <w:t xml:space="preserve"> </w:t>
            </w:r>
            <w:r>
              <w:rPr>
                <w:bCs/>
                <w:b/>
              </w:rPr>
              <w:t xml:space="preserve">confidence indicator</w:t>
            </w:r>
            <w:r>
              <w:t xml:space="preserve"> </w:t>
            </w:r>
            <w:r>
              <w:t xml:space="preserve">(High / Medium / Low) and a link to the source passage in the document (page + highlighted text).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extracted fields are human-editable; a field becomes</w:t>
            </w:r>
            <w:r>
              <w:t xml:space="preserve"> </w:t>
            </w:r>
            <w:r>
              <w:t xml:space="preserve">“</w:t>
            </w:r>
            <w:r>
              <w:t xml:space="preserve">Confirmed</w:t>
            </w:r>
            <w:r>
              <w:t xml:space="preserve">”</w:t>
            </w:r>
            <w:r>
              <w:t xml:space="preserve"> </w:t>
            </w:r>
            <w:r>
              <w:t xml:space="preserve">only after human review. Unconfirmed fields are visually distinct and excluded from official reports by default.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runs asynchronously; a 100-page document set completes in ≤10 minutes with progress indication.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templates are category-aware (e.g. F&amp;B events also extract allergen documentation references, food-safety cert references, provenance claims; FF&amp;E events extract lead times, warranties, installation terms).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documents are never used to train shared/foundation models. LLM calls go through a provider-abstraction layer (no hard dependency on a single model vendor).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bookmarkEnd w:id="44"/>
    <w:bookmarkStart w:id="45" w:name="f6-ai-vendor-scoring"/>
    <w:p>
      <w:pPr>
        <w:pStyle w:val="Heading3"/>
      </w:pPr>
      <w:r>
        <w:t xml:space="preserve">F6 — AI Vendor Scoring</w:t>
      </w:r>
    </w:p>
    <w:tbl>
      <w:tblPr>
        <w:tblStyle w:val="Table"/>
        <w:tblW w:type="dxa" w:w="9026"/>
        <w:tblLook w:firstRow="1" w:lastRow="0" w:firstColumn="0" w:lastColumn="0" w:noHBand="0" w:noVBand="0" w:val="0020"/>
        <w:jc w:val="start"/>
      </w:tblPr>
      <w:tblGrid>
        <w:gridCol w:w="1000"/>
        <w:gridCol w:w="6856"/>
        <w:gridCol w:w="11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 ≥4 pre-built scoring templates: F&amp;B Supplier, FF&amp;E/OS&amp;E Supplier, Services Contractor, Technology Vendor. Each template = criteria + weightings + scoring guidance.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Admins create/edit templates; Procurement Managers adjust criteria and weightings per event before opening submissions. Weightings must total 100%.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proposes a 0–10 score per criterion per vendor, with a written rationale citing extracted evidence.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Humans can override any score; overrides record the user, timestamp, and an optional reason. Final scores display AI-proposed vs confirmed values.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 weighted score computed per vendor; ranking updates live as scores are confirmed.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Heads within scope can add advisory comments and a non-binding endorsement per vendor.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bookmarkEnd w:id="45"/>
    <w:bookmarkStart w:id="46" w:name="f7-compliance-engine"/>
    <w:p>
      <w:pPr>
        <w:pStyle w:val="Heading3"/>
      </w:pPr>
      <w:r>
        <w:t xml:space="preserve">F7 — Compliance Engine</w:t>
      </w:r>
    </w:p>
    <w:tbl>
      <w:tblPr>
        <w:tblStyle w:val="Table"/>
        <w:tblW w:type="dxa" w:w="9026"/>
        <w:tblLook w:firstRow="1" w:lastRow="0" w:firstColumn="0" w:lastColumn="0" w:noHBand="0" w:noVBand="0" w:val="0020"/>
        <w:jc w:val="start"/>
      </w:tblPr>
      <w:tblGrid>
        <w:gridCol w:w="1000"/>
        <w:gridCol w:w="6856"/>
        <w:gridCol w:w="11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 defines</w:t>
            </w:r>
            <w:r>
              <w:t xml:space="preserve"> </w:t>
            </w:r>
            <w:r>
              <w:rPr>
                <w:bCs/>
                <w:b/>
              </w:rPr>
              <w:t xml:space="preserve">compliance rule sets</w:t>
            </w:r>
            <w:r>
              <w:t xml:space="preserve"> </w:t>
            </w:r>
            <w:r>
              <w:t xml:space="preserve">per vendor category: required document types, whether mandatory or advisory, and validity rules.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 a hospitality-tuned document taxonomy out of the box, including: public liability insurance, employer’s liability insurance, product liability insurance, food safety management documentation (e.g. HACCP-based system), third-party food audit certificates (e.g. BRCGS, SALSA), allergen policy/matrix, alcohol wholesaler registration (UK: AWRS), waste carrier licence, Modern Slavery Act statement, GDPR/data-processing terms, ISO 27001 / SOC 2 attestations (tech vendors), sustainability/ethical-sourcing certification. Taxonomy is editable per org.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checks submitted documents against required lists; flags Missing, Mismatched (wrong document type), and Expired/Expiring items; extracts expiry dates where present for human confirmation.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status rolls up to vendor level (Compliant / At Risk / Non-compliant) and is visible in the directory, event views, comparison reports, and approval screens.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expiry alerting: vendor notified at 90/60/30 days; owning Procurement Manager notified at 60/30 days and on expiry.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flags never auto-reject a vendor; they inform human decisions (per Product Principle 1).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bookmarkEnd w:id="46"/>
    <w:bookmarkStart w:id="47" w:name="f8-comparison-reports"/>
    <w:p>
      <w:pPr>
        <w:pStyle w:val="Heading3"/>
      </w:pPr>
      <w:r>
        <w:t xml:space="preserve">F8 — Comparison Reports</w:t>
      </w:r>
    </w:p>
    <w:tbl>
      <w:tblPr>
        <w:tblStyle w:val="Table"/>
        <w:tblW w:type="dxa" w:w="9026"/>
        <w:tblLook w:firstRow="1" w:lastRow="0" w:firstColumn="0" w:lastColumn="0" w:noHBand="0" w:noVBand="0" w:val="0020"/>
        <w:jc w:val="start"/>
      </w:tblPr>
      <w:tblGrid>
        <w:gridCol w:w="1000"/>
        <w:gridCol w:w="6856"/>
        <w:gridCol w:w="11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Side-by-side comparison of 2–10 vendors within an event: composite and per-criterion scores, key extracted commercial terms, compliance status, and reviewer comments.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columns; sensitive commercial fields maskable when sharing with Department Heads.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to PDF and XLSX, stamped with generation date/time, event ID, and a</w:t>
            </w:r>
            <w:r>
              <w:t xml:space="preserve"> </w:t>
            </w:r>
            <w:r>
              <w:t xml:space="preserve">“</w:t>
            </w:r>
            <w:r>
              <w:t xml:space="preserve">Draft — human review required for unconfirmed fields</w:t>
            </w:r>
            <w:r>
              <w:t xml:space="preserve">”</w:t>
            </w:r>
            <w:r>
              <w:t xml:space="preserve"> </w:t>
            </w:r>
            <w:r>
              <w:t xml:space="preserve">watermark where applicable.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AI-generated executive summary (recommendation narrative) is available but clearly labelled as AI-drafted and editable before export.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bookmarkEnd w:id="47"/>
    <w:bookmarkStart w:id="48" w:name="f9-approval-workflows"/>
    <w:p>
      <w:pPr>
        <w:pStyle w:val="Heading3"/>
      </w:pPr>
      <w:r>
        <w:t xml:space="preserve">F9 — Approval Workflows</w:t>
      </w:r>
    </w:p>
    <w:tbl>
      <w:tblPr>
        <w:tblStyle w:val="Table"/>
        <w:tblW w:type="dxa" w:w="9026"/>
        <w:tblLook w:firstRow="1" w:lastRow="0" w:firstColumn="0" w:lastColumn="0" w:noHBand="0" w:noVBand="0" w:val="0020"/>
        <w:jc w:val="start"/>
      </w:tblPr>
      <w:tblGrid>
        <w:gridCol w:w="1000"/>
        <w:gridCol w:w="6856"/>
        <w:gridCol w:w="11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 configures a single-chain approval route per org with value thresholds in GBP (e.g. ≤£10,000: Procurement Manager only; £10,000–£100,000: + Finance Approver; &gt;£100,000: + second Finance Approver/CFO). Thresholds and steps are configurable.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request packages: recommended vendor(s), comparison report, key terms, compliance status, and contract documents.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 actions: Approve, Reject, Request Changes (with mandatory comment for the latter two). Full decision history retained.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notifications on assignment; reminder after 3 days pending (configurable).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Delegation: an approver can delegate to a named user for a date range (holiday cover).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Multi-stage parallel approvals, conditional routing by category/site.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bookmarkEnd w:id="48"/>
    <w:bookmarkStart w:id="49" w:name="f10-contract-register-renewal-alerts"/>
    <w:p>
      <w:pPr>
        <w:pStyle w:val="Heading3"/>
      </w:pPr>
      <w:r>
        <w:t xml:space="preserve">F10 — Contract Register &amp; Renewal Alerts</w:t>
      </w:r>
    </w:p>
    <w:tbl>
      <w:tblPr>
        <w:tblStyle w:val="Table"/>
        <w:tblW w:type="dxa" w:w="9026"/>
        <w:tblLook w:firstRow="1" w:lastRow="0" w:firstColumn="0" w:lastColumn="0" w:noHBand="0" w:noVBand="0" w:val="0020"/>
        <w:jc w:val="start"/>
      </w:tblPr>
      <w:tblGrid>
        <w:gridCol w:w="1000"/>
        <w:gridCol w:w="6856"/>
        <w:gridCol w:w="11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Awarded events create a contract record: vendor, sites, category, value, currency, start/end dates, notice period, renewal type (fixed / auto-renew / rolling), owner. Contracts can also be created directly (for legacy agreements) with document upload and AI extraction of key dates/terms.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statuses: Draft / Active / Expiring ≤90 days / In Renewal / Expired / Terminated.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 alerts to the contract owner at 120/90/60/30 days before end date or notice deadline — whichever is the binding date.</w:t>
            </w:r>
            <w:r>
              <w:t xml:space="preserve"> </w:t>
            </w:r>
            <w:r>
              <w:rPr>
                <w:bCs/>
                <w:b/>
              </w:rPr>
              <w:t xml:space="preserve">Notice deadline is the primary alert anchor</w:t>
            </w:r>
            <w:r>
              <w:t xml:space="preserve"> </w:t>
            </w:r>
            <w:r>
              <w:t xml:space="preserve">(missing a notice window on an auto-renewing contract is the costly failure mode).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One-click</w:t>
            </w:r>
            <w:r>
              <w:t xml:space="preserve"> </w:t>
            </w:r>
            <w:r>
              <w:t xml:space="preserve">“</w:t>
            </w:r>
            <w:r>
              <w:t xml:space="preserve">start re-evaluation</w:t>
            </w:r>
            <w:r>
              <w:t xml:space="preserve">”</w:t>
            </w:r>
            <w:r>
              <w:t xml:space="preserve"> </w:t>
            </w:r>
            <w:r>
              <w:t xml:space="preserve">from a contract creates a new evaluation event pre-populated with the incumbent vendor and category.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filterable by site, category, owner, status, renewal quarter; exportable to XLSX.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bookmarkEnd w:id="49"/>
    <w:bookmarkStart w:id="50" w:name="f11-dashboard-notifications"/>
    <w:p>
      <w:pPr>
        <w:pStyle w:val="Heading3"/>
      </w:pPr>
      <w:r>
        <w:t xml:space="preserve">F11 — Dashboard &amp; Notifications</w:t>
      </w:r>
    </w:p>
    <w:tbl>
      <w:tblPr>
        <w:tblStyle w:val="Table"/>
        <w:tblW w:type="dxa" w:w="9026"/>
        <w:tblLook w:firstRow="1" w:lastRow="0" w:firstColumn="0" w:lastColumn="0" w:noHBand="0" w:noVBand="0" w:val="0020"/>
        <w:jc w:val="start"/>
      </w:tblPr>
      <w:tblGrid>
        <w:gridCol w:w="1000"/>
        <w:gridCol w:w="6856"/>
        <w:gridCol w:w="11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Role-aware home dashboard. Procurement Manager: active events by stage, pending actions, compliance alerts, contracts expiring ≤90 days, average cycle time. Department Head: their requirements and events in scope. Finance Approver: pending approvals queue. Org Admin: usage and configuration health.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notification centre + email notifications; per-user email preferences.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Cycle-time analytics (event opened → shortlist; shortlist → award) reported per event and as a rolling average.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bookmarkEnd w:id="50"/>
    <w:bookmarkStart w:id="51" w:name="f12-audit-trail"/>
    <w:p>
      <w:pPr>
        <w:pStyle w:val="Heading3"/>
      </w:pPr>
      <w:r>
        <w:t xml:space="preserve">F12 — Audit Trail</w:t>
      </w:r>
    </w:p>
    <w:tbl>
      <w:tblPr>
        <w:tblStyle w:val="Table"/>
        <w:tblW w:type="dxa" w:w="9026"/>
        <w:tblLook w:firstRow="1" w:lastRow="0" w:firstColumn="0" w:lastColumn="0" w:noHBand="0" w:noVBand="0" w:val="0020"/>
        <w:jc w:val="start"/>
      </w:tblPr>
      <w:tblGrid>
        <w:gridCol w:w="1077"/>
        <w:gridCol w:w="6779"/>
        <w:gridCol w:w="11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Immutable, timestamped log of: user auth events, role changes, event transitions, extraction confirmations/edits, score overrides, approvals/rejections, contract changes, document uploads/deletions.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viewable by Org Admin, filterable, exportable to CSV.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ai-requirements-guardrails"/>
    <w:p>
      <w:pPr>
        <w:pStyle w:val="Heading2"/>
      </w:pPr>
      <w:r>
        <w:t xml:space="preserve">8. AI Requirements &amp; Guardrails</w:t>
      </w:r>
    </w:p>
    <w:tbl>
      <w:tblPr>
        <w:tblStyle w:val="Table"/>
        <w:tblW w:type="dxa" w:w="9026"/>
        <w:tblLook w:firstRow="1" w:lastRow="0" w:firstColumn="0" w:lastColumn="0" w:noHBand="0" w:noVBand="0" w:val="0020"/>
        <w:jc w:val="start"/>
      </w:tblPr>
      <w:tblGrid>
        <w:gridCol w:w="1000"/>
        <w:gridCol w:w="80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Human-in-the-loop is mandatory.</w:t>
            </w:r>
            <w:r>
              <w:t xml:space="preserve"> </w:t>
            </w:r>
            <w:r>
              <w:t xml:space="preserve">No AI extraction, score, compliance flag, or summary becomes official without explicit human confirmation. UI must make unconfirmed AI output visually unmistakable.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Traceability.</w:t>
            </w:r>
            <w:r>
              <w:t xml:space="preserve"> </w:t>
            </w:r>
            <w:r>
              <w:t xml:space="preserve">Every AI output links to its evidence: extracted fields cite page and passage; scores cite the fields and questionnaire answers they rely 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Confidence signalling.</w:t>
            </w:r>
            <w:r>
              <w:t xml:space="preserve"> </w:t>
            </w:r>
            <w:r>
              <w:t xml:space="preserve">High/Medium/Low confidence on every extracted field; Low-confidence fields are queued for priority human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 target.</w:t>
            </w:r>
            <w:r>
              <w:t xml:space="preserve"> </w:t>
            </w:r>
            <w:r>
              <w:t xml:space="preserve">≥90% field-level extraction accuracy on the golden test set (see AI-7) before GA; measured quarterly thereafter.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abstraction.</w:t>
            </w:r>
            <w:r>
              <w:t xml:space="preserve"> </w:t>
            </w:r>
            <w:r>
              <w:t xml:space="preserve">All LLM calls route through an internal service layer supporting provider/model swap without product change; per-org model configuration is a Phase 2 option for enterprise buyers.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boundaries.</w:t>
            </w:r>
            <w:r>
              <w:t xml:space="preserve"> </w:t>
            </w:r>
            <w:r>
              <w:t xml:space="preserve">Customer documents and extracted data are never used to train shared models; prompts must not leak one customer’s data into another’s context; per-org logical isolation enforced at the retrieval layer.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Golden test set.</w:t>
            </w:r>
            <w:r>
              <w:t xml:space="preserve"> </w:t>
            </w:r>
            <w:r>
              <w:t xml:space="preserve">Maintain a versioned corpus of ≥200 anonymised/synthetic hospitality procurement documents (proposals, contracts, certificates) with ground-truth labels for regression-testing every model or prompt change.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Bias &amp; tone.</w:t>
            </w:r>
            <w:r>
              <w:t xml:space="preserve"> </w:t>
            </w:r>
            <w:r>
              <w:t xml:space="preserve">Scoring rationales must reference evidence only (terms, prices, certifications) — never vendor size, nationality, or other irrelevant characteristics. Prompt policies and rationale audits enforce this.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Failure behaviour.</w:t>
            </w:r>
            <w:r>
              <w:t xml:space="preserve"> </w:t>
            </w:r>
            <w:r>
              <w:t xml:space="preserve">If extraction fails or times out, the document remains fully usable manually; the platform must degrade to</w:t>
            </w:r>
            <w:r>
              <w:t xml:space="preserve"> </w:t>
            </w:r>
            <w:r>
              <w:t xml:space="preserve">“</w:t>
            </w:r>
            <w:r>
              <w:t xml:space="preserve">a very good document manager</w:t>
            </w:r>
            <w:r>
              <w:t xml:space="preserve">”</w:t>
            </w:r>
            <w:r>
              <w:t xml:space="preserve"> </w:t>
            </w:r>
            <w:r>
              <w:t xml:space="preserve">— never block the workflow on AI.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non-functional-requirements"/>
    <w:p>
      <w:pPr>
        <w:pStyle w:val="Heading2"/>
      </w:pPr>
      <w:r>
        <w:t xml:space="preserve">9. Non-Functional Requirements</w:t>
      </w:r>
    </w:p>
    <w:bookmarkStart w:id="54" w:name="security-data-protection"/>
    <w:p>
      <w:pPr>
        <w:pStyle w:val="Heading3"/>
      </w:pPr>
      <w:r>
        <w:t xml:space="preserve">9.1 Security &amp; data protection</w:t>
      </w:r>
    </w:p>
    <w:tbl>
      <w:tblPr>
        <w:tblStyle w:val="Table"/>
        <w:tblW w:type="dxa" w:w="9026"/>
        <w:tblLook w:firstRow="1" w:lastRow="0" w:firstColumn="0" w:lastColumn="0" w:noHBand="0" w:noVBand="0" w:val="0020"/>
        <w:jc w:val="start"/>
      </w:tblPr>
      <w:tblGrid>
        <w:gridCol w:w="1000"/>
        <w:gridCol w:w="80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GDPR and EU GDPR compliant. Data processing agreement (DPA) offered to all customers; records of processing maintained. Privacy review required before any new use of personal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residency: UK/EU region at launch. Architecture supports additional regions (US in Phase 2) with per-org region pinning.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in transit (TLS 1.2+) and at rest (AES-256). Secrets in a managed vault.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 control enforced server-side on every endpoint; vendors can never access another vendor’s data or any internal evaluation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 Type I within 12 months of GA; Type II on the following cycle. Security controls (logging, access reviews, vulnerability scanning) built from day one to support this.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data in the platform is limited to business-contact data (names, work emails, phone numbers of vendor and customer staff). No consumer/member data is processed. Data-subject request (DSAR) support: export and deletion per data subject.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data-retention policy per org; default 7 years for contract records (aligning with typical commercial-record retention), 2 years for unsuccessful submissions unless configured otherwise.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Penetration test before GA and annually thereafter.</w:t>
            </w:r>
          </w:p>
        </w:tc>
      </w:tr>
    </w:tbl>
    <w:bookmarkEnd w:id="54"/>
    <w:bookmarkStart w:id="55" w:name="performance-availability-scale"/>
    <w:p>
      <w:pPr>
        <w:pStyle w:val="Heading3"/>
      </w:pPr>
      <w:r>
        <w:t xml:space="preserve">9.2 Performance, availability &amp; scale</w:t>
      </w:r>
    </w:p>
    <w:tbl>
      <w:tblPr>
        <w:tblStyle w:val="Table"/>
        <w:tblW w:type="dxa" w:w="9026"/>
        <w:tblLook w:firstRow="1" w:lastRow="0" w:firstColumn="0" w:lastColumn="0" w:noHBand="0" w:noVBand="0" w:val="0020"/>
        <w:jc w:val="start"/>
      </w:tblPr>
      <w:tblGrid>
        <w:gridCol w:w="1295"/>
        <w:gridCol w:w="7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page loads ≤2s at P75; dashboard ≤3s.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extraction: ≤10 min for a 100-page submission set (async, with progress).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 target 99.5% monthly (MVP); status page for customers.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assumptions per customer org: ≤50 sites, ≤500 vendor orgs, ≤100 concurrent internal users, ≤200 evaluation events/year, ≤50k documents. Platform sized for 50 customer orgs in year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backups, point-in-time recovery ≤24h RPO, ≤8h RTO.</w:t>
            </w:r>
          </w:p>
        </w:tc>
      </w:tr>
    </w:tbl>
    <w:bookmarkEnd w:id="55"/>
    <w:bookmarkStart w:id="56" w:name="usability-accessibility"/>
    <w:p>
      <w:pPr>
        <w:pStyle w:val="Heading3"/>
      </w:pPr>
      <w:r>
        <w:t xml:space="preserve">9.3 Usability &amp; accessibility</w:t>
      </w:r>
    </w:p>
    <w:tbl>
      <w:tblPr>
        <w:tblStyle w:val="Table"/>
        <w:tblW w:type="dxa" w:w="9026"/>
        <w:tblLook w:firstRow="1" w:lastRow="0" w:firstColumn="0" w:lastColumn="0" w:noHBand="0" w:noVBand="0" w:val="0020"/>
        <w:jc w:val="start"/>
      </w:tblPr>
      <w:tblGrid>
        <w:gridCol w:w="1078"/>
        <w:gridCol w:w="79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web (desktop-first; approval and vendor-submission flows must work well on mobile browsers).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WCAG 2.1 AA for core flows.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(UK) at launch; string externalisation from day one for future locales. Currency display: GBP primary with per-event local currency (USD, EUR) and indicative conversion clearly marked as indicative. Dates: DD/MM/YYYY (locale-aware later).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8" w:name="data-model-conceptual"/>
    <w:p>
      <w:pPr>
        <w:pStyle w:val="Heading2"/>
      </w:pPr>
      <w:r>
        <w:t xml:space="preserve">10. Data Model (Conceptual)</w:t>
      </w:r>
    </w:p>
    <w:p>
      <w:pPr>
        <w:pStyle w:val="FirstParagraph"/>
      </w:pPr>
      <w:r>
        <w:t xml:space="preserve">Core entities and relationships (simplified):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Organisation</w:t>
      </w:r>
      <w:r>
        <w:t xml:space="preserve"> </w:t>
      </w:r>
      <w:r>
        <w:t xml:space="preserve">1—*</w:t>
      </w:r>
      <w:r>
        <w:t xml:space="preserve"> </w:t>
      </w:r>
      <w:r>
        <w:rPr>
          <w:bCs/>
          <w:b/>
        </w:rPr>
        <w:t xml:space="preserve">Site</w:t>
      </w:r>
      <w:r>
        <w:t xml:space="preserve">; Organisation 1—*</w:t>
      </w:r>
      <w:r>
        <w:t xml:space="preserve"> </w:t>
      </w:r>
      <w:r>
        <w:rPr>
          <w:bCs/>
          <w:b/>
        </w:rPr>
        <w:t xml:space="preserve">User</w:t>
      </w:r>
      <w:r>
        <w:t xml:space="preserve"> </w:t>
      </w:r>
      <w:r>
        <w:t xml:space="preserve">(role, site/department scope)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Vendor</w:t>
      </w:r>
      <w:r>
        <w:t xml:space="preserve"> </w:t>
      </w:r>
      <w:r>
        <w:rPr>
          <w:iCs/>
          <w:i/>
        </w:rPr>
        <w:t xml:space="preserve">—</w:t>
      </w:r>
      <w:r>
        <w:t xml:space="preserve"> </w:t>
      </w:r>
      <w:r>
        <w:t xml:space="preserve">Organisation (vendor records are per-customer-org; no cross-customer vendor sharing in v1)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Requirement</w:t>
      </w:r>
      <w:r>
        <w:t xml:space="preserve"> </w:t>
      </w:r>
      <w:r>
        <w:t xml:space="preserve">(raised by Dept Head) 1—0..1</w:t>
      </w:r>
      <w:r>
        <w:t xml:space="preserve"> </w:t>
      </w:r>
      <w:r>
        <w:rPr>
          <w:bCs/>
          <w:b/>
        </w:rPr>
        <w:t xml:space="preserve">EvaluationEvent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EvaluationEvent</w:t>
      </w:r>
      <w:r>
        <w:t xml:space="preserve"> </w:t>
      </w:r>
      <w:r>
        <w:t xml:space="preserve">1—*</w:t>
      </w:r>
      <w:r>
        <w:t xml:space="preserve"> </w:t>
      </w:r>
      <w:r>
        <w:rPr>
          <w:bCs/>
          <w:b/>
        </w:rPr>
        <w:t xml:space="preserve">VendorSubmission</w:t>
      </w:r>
      <w:r>
        <w:t xml:space="preserve">; 1—1 ScoringTemplate (snapshot); 1—1 ComplianceRuleSet (snapshot)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VendorSubmission</w:t>
      </w:r>
      <w:r>
        <w:t xml:space="preserve"> </w:t>
      </w:r>
      <w:r>
        <w:t xml:space="preserve">1—*</w:t>
      </w:r>
      <w:r>
        <w:t xml:space="preserve"> </w:t>
      </w:r>
      <w:r>
        <w:rPr>
          <w:bCs/>
          <w:b/>
        </w:rPr>
        <w:t xml:space="preserve">Document</w:t>
      </w:r>
      <w:r>
        <w:t xml:space="preserve">; 1—*</w:t>
      </w:r>
      <w:r>
        <w:t xml:space="preserve"> </w:t>
      </w:r>
      <w:r>
        <w:rPr>
          <w:bCs/>
          <w:b/>
        </w:rPr>
        <w:t xml:space="preserve">ExtractedField</w:t>
      </w:r>
      <w:r>
        <w:t xml:space="preserve"> </w:t>
      </w:r>
      <w:r>
        <w:t xml:space="preserve">(value, confidence, source ref, confirmed_by/at); 1—*</w:t>
      </w:r>
      <w:r>
        <w:t xml:space="preserve"> </w:t>
      </w:r>
      <w:r>
        <w:rPr>
          <w:bCs/>
          <w:b/>
        </w:rPr>
        <w:t xml:space="preserve">CriterionScore</w:t>
      </w:r>
      <w:r>
        <w:t xml:space="preserve"> </w:t>
      </w:r>
      <w:r>
        <w:t xml:space="preserve">(ai_score, confirmed_score, rationale, overridden_by)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ApprovalRequest</w:t>
      </w:r>
      <w:r>
        <w:t xml:space="preserve"> </w:t>
      </w:r>
      <w:r>
        <w:t xml:space="preserve">1—*</w:t>
      </w:r>
      <w:r>
        <w:t xml:space="preserve"> </w:t>
      </w:r>
      <w:r>
        <w:rPr>
          <w:bCs/>
          <w:b/>
        </w:rPr>
        <w:t xml:space="preserve">ApprovalStep</w:t>
      </w:r>
      <w:r>
        <w:t xml:space="preserve"> </w:t>
      </w:r>
      <w:r>
        <w:t xml:space="preserve">(approver, decision, comment, timestamp)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Contract</w:t>
      </w:r>
      <w:r>
        <w:t xml:space="preserve"> </w:t>
      </w:r>
      <w:r>
        <w:t xml:space="preserve">(vendor, sites, value, currency, dates, notice period, renewal type, owner) 1—*</w:t>
      </w:r>
      <w:r>
        <w:t xml:space="preserve"> </w:t>
      </w:r>
      <w:r>
        <w:rPr>
          <w:bCs/>
          <w:b/>
        </w:rPr>
        <w:t xml:space="preserve">RenewalAlert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ComplianceDocument</w:t>
      </w:r>
      <w:r>
        <w:t xml:space="preserve"> </w:t>
      </w:r>
      <w:r>
        <w:t xml:space="preserve">(vendor, type, expiry, status, verified_by)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AuditEntry</w:t>
      </w:r>
      <w:r>
        <w:t xml:space="preserve"> </w:t>
      </w:r>
      <w:r>
        <w:t xml:space="preserve">(actor, action, entity, before/after, timestamp) — append-only</w:t>
      </w:r>
    </w:p>
    <w:p>
      <w:pPr>
        <w:pStyle w:val="FirstParagraph"/>
      </w:pPr>
      <w:r>
        <w:t xml:space="preserve">Templates and rule sets are</w:t>
      </w:r>
      <w:r>
        <w:t xml:space="preserve"> </w:t>
      </w:r>
      <w:r>
        <w:rPr>
          <w:bCs/>
          <w:b/>
        </w:rPr>
        <w:t xml:space="preserve">snapshotted</w:t>
      </w:r>
      <w:r>
        <w:t xml:space="preserve"> </w:t>
      </w:r>
      <w:r>
        <w:t xml:space="preserve">into events at open time, so later template edits never silently change in-flight or historical evaluations.</w:t>
      </w:r>
    </w:p>
    <w:p>
      <w:r>
        <w:pict>
          <v:rect style="width:0;height:1.5pt" o:hralign="center" o:hrstd="t" o:hr="t"/>
        </w:pict>
      </w:r>
    </w:p>
    <w:bookmarkEnd w:id="58"/>
    <w:bookmarkStart w:id="59" w:name="integrations"/>
    <w:p>
      <w:pPr>
        <w:pStyle w:val="Heading2"/>
      </w:pPr>
      <w:r>
        <w:t xml:space="preserve">11. Integrations</w:t>
      </w:r>
    </w:p>
    <w:tbl>
      <w:tblPr>
        <w:tblStyle w:val="Table"/>
        <w:tblW w:type="dxa" w:w="9026"/>
        <w:tblLook w:firstRow="1" w:lastRow="0" w:firstColumn="0" w:lastColumn="0" w:noHBand="0" w:noVBand="0" w:val="0020"/>
        <w:jc w:val="start"/>
      </w:tblPr>
      <w:tblGrid>
        <w:gridCol w:w="3928"/>
        <w:gridCol w:w="1280"/>
        <w:gridCol w:w="38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SSO — Google Workspace, Microsoft Entra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SAML/OIDC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Transactional email (notifications, magic links)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deliverability monitoring — vendor emails landing in spam is an existential UX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Slack / Microsoft Teams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nudges, expiry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DocuSign / e-signature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ERP / finance systems (e.g. SAP, NetSuite, Oracle)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master sync, awarded-contract handoff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APIs / 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outcomes, contract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pricing-packaging-working-model"/>
    <w:p>
      <w:pPr>
        <w:pStyle w:val="Heading2"/>
      </w:pPr>
      <w:r>
        <w:t xml:space="preserve">12. Pricing &amp; Packaging (Working Model)</w:t>
      </w:r>
    </w:p>
    <w:p>
      <w:pPr>
        <w:pStyle w:val="FirstParagraph"/>
      </w:pPr>
      <w:r>
        <w:t xml:space="preserve">Tiered annual platform fee — indicative, to be validated with pilots:</w:t>
      </w:r>
    </w:p>
    <w:tbl>
      <w:tblPr>
        <w:tblStyle w:val="Table"/>
        <w:tblW w:type="dxa" w:w="9026"/>
        <w:tblLook w:firstRow="1" w:lastRow="0" w:firstColumn="0" w:lastColumn="0" w:noHBand="0" w:noVBand="0" w:val="0020"/>
        <w:jc w:val="start"/>
      </w:tblPr>
      <w:tblGrid>
        <w:gridCol w:w="1659"/>
        <w:gridCol w:w="3125"/>
        <w:gridCol w:w="42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Indicative price (annual)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 sites, ≤100 active vendors, ≤10 internal seats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≤20 sites, ≤300 active vendors, ≤40 internal seats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£60,000+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sites, custom limits, SSO enforcement, priority support, future US region</w:t>
            </w:r>
          </w:p>
        </w:tc>
      </w:tr>
    </w:tbl>
    <w:p>
      <w:pPr>
        <w:pStyle w:val="BodyText"/>
      </w:pPr>
      <w:r>
        <w:t xml:space="preserve">Principles: vendors never pay; overage by active-vendor count rather than hard blocks; pilot pricing at ~50% year-1 discount in exchange for case-study rights and product feedback.</w:t>
      </w:r>
    </w:p>
    <w:p>
      <w:pPr>
        <w:pStyle w:val="BlockText"/>
      </w:pPr>
      <w:r>
        <w:t xml:space="preserve">Pricing figures are placeholders for planning and must be validated commercially before any external conversation.</w:t>
      </w:r>
    </w:p>
    <w:p>
      <w:r>
        <w:pict>
          <v:rect style="width:0;height:1.5pt" o:hralign="center" o:hrstd="t" o:hr="t"/>
        </w:pict>
      </w:r>
    </w:p>
    <w:bookmarkEnd w:id="60"/>
    <w:bookmarkStart w:id="61" w:name="release-plan-milestones"/>
    <w:p>
      <w:pPr>
        <w:pStyle w:val="Heading2"/>
      </w:pPr>
      <w:r>
        <w:t xml:space="preserve">13. Release Plan &amp; Milestones</w:t>
      </w:r>
    </w:p>
    <w:tbl>
      <w:tblPr>
        <w:tblStyle w:val="Table"/>
        <w:tblW w:type="dxa" w:w="9026"/>
        <w:tblLook w:firstRow="1" w:lastRow="0" w:firstColumn="0" w:lastColumn="0" w:noHBand="0" w:noVBand="0" w:val="0020"/>
        <w:jc w:val="start"/>
      </w:tblPr>
      <w:tblGrid>
        <w:gridCol w:w="2007"/>
        <w:gridCol w:w="1372"/>
        <w:gridCol w:w="56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 — Foundations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Org/site/user model, SSO, vendor directory, document upload/storage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 — Evaluation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Events, vendor magic-link portal, extraction v1 (top 10 key terms), manual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—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scoring with rationales, compliance engine + hospitality taxonomy, comparison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 —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4–5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workflows, contract register, renewal alerts, dashboards,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 — Hardening &amp; pilot 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tuning vs golden set, pen test, onboarding tooling (CSV imports), 2 design-partner pilots live</w:t>
            </w:r>
          </w:p>
        </w:tc>
      </w:tr>
    </w:tbl>
    <w:p>
      <w:pPr>
        <w:pStyle w:val="BodyText"/>
      </w:pPr>
      <w:r>
        <w:t xml:space="preserve">Team assumption: 4–6 engineers, 1 designer, 1 PM. Design partners: secure 1–2 hospitality groups by M1 to supply real (appropriately authorised and anonymised) document samples for the golden test set.</w:t>
      </w:r>
    </w:p>
    <w:p>
      <w:r>
        <w:pict>
          <v:rect style="width:0;height:1.5pt" o:hralign="center" o:hrstd="t" o:hr="t"/>
        </w:pict>
      </w:r>
    </w:p>
    <w:bookmarkEnd w:id="61"/>
    <w:bookmarkStart w:id="62" w:name="risks-mitigations"/>
    <w:p>
      <w:pPr>
        <w:pStyle w:val="Heading2"/>
      </w:pPr>
      <w:r>
        <w:t xml:space="preserve">14. Risks &amp; Mitigations</w:t>
      </w:r>
    </w:p>
    <w:tbl>
      <w:tblPr>
        <w:tblStyle w:val="Table"/>
        <w:tblW w:type="dxa" w:w="9026"/>
        <w:tblLook w:firstRow="1" w:lastRow="0" w:firstColumn="0" w:lastColumn="0" w:noHBand="0" w:noVBand="0" w:val="0020"/>
        <w:jc w:val="start"/>
      </w:tblPr>
      <w:tblGrid>
        <w:gridCol w:w="2894"/>
        <w:gridCol w:w="1400"/>
        <w:gridCol w:w="1000"/>
        <w:gridCol w:w="37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Extraction accuracy below trust threshold on messy real-world docs (scans, pricing spreadsheets)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Golden test set from design-partner documents; confidence signalling; graceful manual fallback (AI-9)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non-adoption (won’t use the portal)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 links (no accounts), mobile-friendly upload, minimal mandatory fields, email fallback ingestion in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Crowded market / feature-race with funded competitors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depth (hospitality compliance taxonomy, F&amp;B-specific extraction) over horizontal breadth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Buyers demand P2P/ERP integration sooner than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Positioning discipline: evaluation &amp; lifecycle intelligence, not P2P; ERP connectors on public roadmap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Data-protection concerns block AI 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No-training guarantee (AI-6), UK/EU residency, DPA from day one, SOC 2 roadmap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Missed notice deadlines despite alerts (data entered wrongly)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extraction of dates with mandatory human confirmation; notice-deadline-anchored alerts (F10.3)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creep from design partners’ bespoke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Configurable, not custom</w:t>
            </w:r>
            <w:r>
              <w:t xml:space="preserve">”</w:t>
            </w:r>
            <w:r>
              <w:t xml:space="preserve"> </w:t>
            </w:r>
            <w:r>
              <w:t xml:space="preserve">principle; Org Admin templates instead of code forks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open-questions"/>
    <w:p>
      <w:pPr>
        <w:pStyle w:val="Heading2"/>
      </w:pPr>
      <w:r>
        <w:t xml:space="preserve">15. Open Questions</w:t>
      </w:r>
    </w:p>
    <w:p>
      <w:pPr>
        <w:numPr>
          <w:ilvl w:val="0"/>
          <w:numId w:val="1013"/>
        </w:numPr>
        <w:pStyle w:val="Compact"/>
      </w:pPr>
      <w:r>
        <w:t xml:space="preserve">Design partners: which 1–2 hospitality groups, and who owns securing document-sharing agreements for the golden test set?</w:t>
      </w:r>
    </w:p>
    <w:p>
      <w:pPr>
        <w:numPr>
          <w:ilvl w:val="0"/>
          <w:numId w:val="1013"/>
        </w:numPr>
        <w:pStyle w:val="Compact"/>
      </w:pPr>
      <w:r>
        <w:t xml:space="preserve">Should unsuccessful-vendor feedback (why they lost) be a product feature (great vendor-relations tool, but legally sensitive wording) — MVP, P2, or never?</w:t>
      </w:r>
    </w:p>
    <w:p>
      <w:pPr>
        <w:numPr>
          <w:ilvl w:val="0"/>
          <w:numId w:val="1013"/>
        </w:numPr>
        <w:pStyle w:val="Compact"/>
      </w:pPr>
      <w:r>
        <w:t xml:space="preserve">Wine &amp; spirits programmes often involve allocation-based buying rather than competitive RFPs — do we need an</w:t>
      </w:r>
      <w:r>
        <w:t xml:space="preserve"> </w:t>
      </w:r>
      <w:r>
        <w:t xml:space="preserve">“</w:t>
      </w:r>
      <w:r>
        <w:t xml:space="preserve">allocation/negotiated award</w:t>
      </w:r>
      <w:r>
        <w:t xml:space="preserve">”</w:t>
      </w:r>
      <w:r>
        <w:t xml:space="preserve"> </w:t>
      </w:r>
      <w:r>
        <w:t xml:space="preserve">event type in MVP, or is direct contract entry (F10.1) sufficient?</w:t>
      </w:r>
    </w:p>
    <w:p>
      <w:pPr>
        <w:numPr>
          <w:ilvl w:val="0"/>
          <w:numId w:val="1013"/>
        </w:numPr>
        <w:pStyle w:val="Compact"/>
      </w:pPr>
      <w:r>
        <w:t xml:space="preserve">Multi-entity groups (separate legal entities per country/site): one org with sites, or parent/child orgs? Affects the data model — decide before M0.</w:t>
      </w:r>
    </w:p>
    <w:p>
      <w:pPr>
        <w:numPr>
          <w:ilvl w:val="0"/>
          <w:numId w:val="1013"/>
        </w:numPr>
        <w:pStyle w:val="Compact"/>
      </w:pPr>
      <w:r>
        <w:t xml:space="preserve">Which LLM provider(s) for launch, and does the UK/EU residency requirement constrain the choice of inference region?</w:t>
      </w:r>
    </w:p>
    <w:p>
      <w:pPr>
        <w:numPr>
          <w:ilvl w:val="0"/>
          <w:numId w:val="1013"/>
        </w:numPr>
        <w:pStyle w:val="Compact"/>
      </w:pPr>
      <w:r>
        <w:t xml:space="preserve">Do pilot customers require import of historical evaluation data, or contracts only?</w:t>
      </w:r>
    </w:p>
    <w:p>
      <w:r>
        <w:pict>
          <v:rect style="width:0;height:1.5pt" o:hralign="center" o:hrstd="t" o:hr="t"/>
        </w:pict>
      </w:r>
    </w:p>
    <w:bookmarkEnd w:id="63"/>
    <w:bookmarkStart w:id="64" w:name="glossary"/>
    <w:p>
      <w:pPr>
        <w:pStyle w:val="Heading2"/>
      </w:pPr>
      <w:r>
        <w:t xml:space="preserve">16. Glossary</w:t>
      </w:r>
    </w:p>
    <w:tbl>
      <w:tblPr>
        <w:tblStyle w:val="Table"/>
        <w:tblW w:type="dxa" w:w="9026"/>
        <w:tblLook w:firstRow="1" w:lastRow="0" w:firstColumn="0" w:lastColumn="0" w:noHBand="0" w:noVBand="0" w:val="0020"/>
        <w:jc w:val="start"/>
      </w:tblPr>
      <w:tblGrid>
        <w:gridCol w:w="1752"/>
        <w:gridCol w:w="72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for Proposal — a structured invitation for vendors to bid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FF&amp;E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Furniture, Fixtures &amp; Equipment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OS&amp;E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Supplies &amp; Equipment — consumable operating items (linen, glassware, smallwares)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Procure-to-Pay — the transactional purchasing/invoicing/payment process (out of scope)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HACCP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Hazard Analysis and Critical Control Points — the standard food-safety management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BRCGS / SALSA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food-safety audit/certification schemes (global standard / UK small-producer scheme)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Alcohol Wholesaler Registration Scheme (UK HMRC registration for alcohol wholesalers)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Magic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single-use emailed login link — passwordless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Optical Character Recognition — converting scanned images of text into machine-readable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MoSCoW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Prioritisation scheme: Must / Should / Could / Won’t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Processing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Subject Access Request (UK/EU GDPR right)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Level Agreement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document. This PRD is an AI-assisted draft for internal review — validate market figures, pricing, and legal/compliance content with the relevant teams before external use.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2026-07-18T13:18:50Z</dcterms:created>
  <dcterms:modified xsi:type="dcterms:W3CDTF">2026-07-18T13:18:50Z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