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SAP CPI Integration Flow SOP</w:t>
      </w:r>
    </w:p>
    <w:p>
      <w:r>
        <w:t>This document describes the standard procedure for building an integration flow in SAP CPI.</w:t>
      </w:r>
    </w:p>
    <w:p>
      <w:pPr>
        <w:pStyle w:val="Heading2"/>
      </w:pPr>
      <w:r>
        <w:t>Step 1: Create iFlow</w:t>
      </w:r>
    </w:p>
    <w:p>
      <w:r>
        <w:t>Navigate to Integration Designer and click Create New Integration Flow.</w:t>
      </w:r>
    </w:p>
    <w:p>
      <w:r>
        <w:t>Provide a name and select the appropriate package.</w:t>
      </w:r>
    </w:p>
    <w:p>
      <w:pPr>
        <w:pStyle w:val="Heading2"/>
      </w:pPr>
      <w:r>
        <w:t>Step 2: Configure Sender Adapter</w:t>
      </w:r>
    </w:p>
    <w:p>
      <w:r>
        <w:t>Select the sender adapter type such as SOAP, HTTPS, or SFTP.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Adapter</w:t>
            </w:r>
          </w:p>
        </w:tc>
        <w:tc>
          <w:tcPr>
            <w:tcW w:type="dxa" w:w="4320"/>
          </w:tcPr>
          <w:p>
            <w:r>
              <w:t>Use Case</w:t>
            </w:r>
          </w:p>
        </w:tc>
      </w:tr>
      <w:tr>
        <w:tc>
          <w:tcPr>
            <w:tcW w:type="dxa" w:w="4320"/>
          </w:tcPr>
          <w:p>
            <w:r>
              <w:t>SFTP</w:t>
            </w:r>
          </w:p>
        </w:tc>
        <w:tc>
          <w:tcPr>
            <w:tcW w:type="dxa" w:w="4320"/>
          </w:tcPr>
          <w:p>
            <w:r>
              <w:t>File-based transfer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