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GEOLOGICAL REPORT</w:t>
      </w:r>
    </w:p>
    <w:p>
      <w:pPr>
        <w:jc w:val="center"/>
      </w:pPr>
      <w:r>
        <w:rPr>
          <w:b/>
          <w:sz w:val="26"/>
        </w:rPr>
        <w:t>KRANTI OPENCAST PROJECT (OCP), FY 2022-23</w:t>
      </w:r>
    </w:p>
    <w:p/>
    <w:tbl>
      <w:tblPr>
        <w:tblStyle w:val="TableGrid"/>
        <w:tblW w:type="auto" w:w="0"/>
        <w:tblLook w:firstColumn="1" w:firstRow="1" w:lastColumn="0" w:lastRow="0" w:noHBand="0" w:noVBand="1" w:val="04A0"/>
      </w:tblPr>
      <w:tblGrid>
        <w:gridCol w:w="4320"/>
        <w:gridCol w:w="4320"/>
      </w:tblGrid>
      <w:tr>
        <w:tc>
          <w:tcPr>
            <w:tcW w:type="dxa" w:w="4320"/>
          </w:tcPr>
          <w:p>
            <w:r>
              <w:rPr>
                <w:b/>
              </w:rPr>
              <w:t>Mine Name</w:t>
            </w:r>
          </w:p>
        </w:tc>
        <w:tc>
          <w:tcPr>
            <w:tcW w:type="dxa" w:w="4320"/>
          </w:tcPr>
          <w:p>
            <w:r>
              <w:t>Kranti Opencast Project (OCP)</w:t>
            </w:r>
          </w:p>
        </w:tc>
      </w:tr>
      <w:tr>
        <w:tc>
          <w:tcPr>
            <w:tcW w:type="dxa" w:w="4320"/>
          </w:tcPr>
          <w:p>
            <w:r>
              <w:rPr>
                <w:b/>
              </w:rPr>
              <w:t>Company</w:t>
            </w:r>
          </w:p>
        </w:tc>
        <w:tc>
          <w:tcPr>
            <w:tcW w:type="dxa" w:w="4320"/>
          </w:tcPr>
          <w:p>
            <w:r>
              <w:t>Eastern Coalfields Limited (ECL)</w:t>
            </w:r>
          </w:p>
        </w:tc>
      </w:tr>
      <w:tr>
        <w:tc>
          <w:tcPr>
            <w:tcW w:type="dxa" w:w="4320"/>
          </w:tcPr>
          <w:p>
            <w:r>
              <w:rPr>
                <w:b/>
              </w:rPr>
              <w:t>Location</w:t>
            </w:r>
          </w:p>
        </w:tc>
        <w:tc>
          <w:tcPr>
            <w:tcW w:type="dxa" w:w="4320"/>
          </w:tcPr>
          <w:p>
            <w:r>
              <w:t>Raniganj Coalfield, Paschim Bardhaman, West Bengal</w:t>
            </w:r>
          </w:p>
        </w:tc>
      </w:tr>
      <w:tr>
        <w:tc>
          <w:tcPr>
            <w:tcW w:type="dxa" w:w="4320"/>
          </w:tcPr>
          <w:p>
            <w:r>
              <w:rPr>
                <w:b/>
              </w:rPr>
              <w:t>Mine Type</w:t>
            </w:r>
          </w:p>
        </w:tc>
        <w:tc>
          <w:tcPr>
            <w:tcW w:type="dxa" w:w="4320"/>
          </w:tcPr>
          <w:p>
            <w:r>
              <w:t>Opencast</w:t>
            </w:r>
          </w:p>
        </w:tc>
      </w:tr>
      <w:tr>
        <w:tc>
          <w:tcPr>
            <w:tcW w:type="dxa" w:w="4320"/>
          </w:tcPr>
          <w:p>
            <w:r>
              <w:rPr>
                <w:b/>
              </w:rPr>
              <w:t>Fiscal Year</w:t>
            </w:r>
          </w:p>
        </w:tc>
        <w:tc>
          <w:tcPr>
            <w:tcW w:type="dxa" w:w="4320"/>
          </w:tcPr>
          <w:p>
            <w:r>
              <w:t>2022-23</w:t>
            </w:r>
          </w:p>
        </w:tc>
      </w:tr>
      <w:tr>
        <w:tc>
          <w:tcPr>
            <w:tcW w:type="dxa" w:w="4320"/>
          </w:tcPr>
          <w:p>
            <w:r>
              <w:rPr>
                <w:b/>
              </w:rPr>
              <w:t>Report Date</w:t>
            </w:r>
          </w:p>
        </w:tc>
        <w:tc>
          <w:tcPr>
            <w:tcW w:type="dxa" w:w="4320"/>
          </w:tcPr>
          <w:p>
            <w:r>
              <w:t>March 31, 2023</w:t>
            </w:r>
          </w:p>
        </w:tc>
      </w:tr>
      <w:tr>
        <w:tc>
          <w:tcPr>
            <w:tcW w:type="dxa" w:w="4320"/>
          </w:tcPr>
          <w:p>
            <w:r>
              <w:rPr>
                <w:b/>
              </w:rPr>
              <w:t>Coal Grade</w:t>
            </w:r>
          </w:p>
        </w:tc>
        <w:tc>
          <w:tcPr>
            <w:tcW w:type="dxa" w:w="4320"/>
          </w:tcPr>
          <w:p>
            <w:r>
              <w:t>G8</w:t>
            </w:r>
          </w:p>
        </w:tc>
      </w:tr>
      <w:tr>
        <w:tc>
          <w:tcPr>
            <w:tcW w:type="dxa" w:w="4320"/>
          </w:tcPr>
          <w:p>
            <w:r>
              <w:rPr>
                <w:b/>
              </w:rPr>
              <w:t>Estimation Method</w:t>
            </w:r>
          </w:p>
        </w:tc>
        <w:tc>
          <w:tcPr>
            <w:tcW w:type="dxa" w:w="4320"/>
          </w:tcPr>
          <w:p>
            <w:r>
              <w:t>Cross-Sectional Method</w:t>
            </w:r>
          </w:p>
        </w:tc>
      </w:tr>
    </w:tbl>
    <w:p/>
    <w:p>
      <w:pPr>
        <w:pStyle w:val="Heading1"/>
      </w:pPr>
      <w:r>
        <w:t>1. Introduction</w:t>
      </w:r>
    </w:p>
    <w:p>
      <w:r>
        <w:t>The Kranti Opencast Project (OCP), operated by Eastern Coalfields Limited (ECL) under the Ministry of Coal, Government of India, is located in the Raniganj Coalfield belt of Paschim Bardhaman district, West Bengal. The mine has been in continuous operation since 1987 and constitutes a significant contributor to ECL's annual production targets under the national energy security framework.</w:t>
      </w:r>
    </w:p>
    <w:p>
      <w:r>
        <w:t>This geological report covers the assessment period FY 2022-23, presenting updated reserve estimates, seam-wise geological characterisation, and production performance metrics. The estimation follows the Cross-Sectional Method as per Indian Bureau of Mines (IBM) guidelines for reserve computation.</w:t>
      </w:r>
    </w:p>
    <w:p>
      <w:pPr>
        <w:pStyle w:val="Heading1"/>
      </w:pPr>
      <w:r>
        <w:t>2. Geological Setting</w:t>
      </w:r>
    </w:p>
    <w:p>
      <w:r>
        <w:t>The coalfield falls within the Gondwana sedimentary basin. The productive seams (Seam-II, Seam-III, Seam-IV) dip at 5°–12° towards the north-northwest at depths ranging from 35 to 120 metres below the surface. Overburden consists of sandstone, shale, and carbonaceous shale inter-beds. The stripping ratio for the current mining block averages 3.8 m³/tonne.</w:t>
      </w:r>
    </w:p>
    <w:p>
      <w:r>
        <w:t>Ground conditions are generally stable. Hydrogeological studies indicate moderate aquifer presence in the Barakar Formation. Controlled blasting protocols and slope monitoring systems are in place as per DGMS directives.</w:t>
      </w:r>
    </w:p>
    <w:p>
      <w:pPr>
        <w:pStyle w:val="Heading1"/>
      </w:pPr>
      <w:r>
        <w:t>3. Reserve Estimation</w:t>
      </w:r>
    </w:p>
    <w:p>
      <w:r>
        <w:t>Coal reserves have been estimated using the Cross-Sectional Method, verified by drill-hole data from 90 exploratory boreholes. The following table summarises the seam-wise reserve estimates as of FY 2022-23: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Seam</w:t>
            </w:r>
          </w:p>
        </w:tc>
        <w:tc>
          <w:tcPr>
            <w:tcW w:type="dxa" w:w="2160"/>
          </w:tcPr>
          <w:p>
            <w:r>
              <w:rPr>
                <w:b/>
              </w:rPr>
              <w:t>Area (ha)</w:t>
            </w:r>
          </w:p>
        </w:tc>
        <w:tc>
          <w:tcPr>
            <w:tcW w:type="dxa" w:w="2160"/>
          </w:tcPr>
          <w:p>
            <w:r>
              <w:rPr>
                <w:b/>
              </w:rPr>
              <w:t>Average Thickness (m)</w:t>
            </w:r>
          </w:p>
        </w:tc>
        <w:tc>
          <w:tcPr>
            <w:tcW w:type="dxa" w:w="2160"/>
          </w:tcPr>
          <w:p>
            <w:r>
              <w:rPr>
                <w:b/>
              </w:rPr>
              <w:t>Reserve (MT)</w:t>
            </w:r>
          </w:p>
        </w:tc>
      </w:tr>
      <w:tr>
        <w:tc>
          <w:tcPr>
            <w:tcW w:type="dxa" w:w="2160"/>
          </w:tcPr>
          <w:p>
            <w:r>
              <w:t>Seam-II</w:t>
            </w:r>
          </w:p>
        </w:tc>
        <w:tc>
          <w:tcPr>
            <w:tcW w:type="dxa" w:w="2160"/>
          </w:tcPr>
          <w:p>
            <w:r>
              <w:t>420</w:t>
            </w:r>
          </w:p>
        </w:tc>
        <w:tc>
          <w:tcPr>
            <w:tcW w:type="dxa" w:w="2160"/>
          </w:tcPr>
          <w:p>
            <w:r>
              <w:t>4.8</w:t>
            </w:r>
          </w:p>
        </w:tc>
        <w:tc>
          <w:tcPr>
            <w:tcW w:type="dxa" w:w="2160"/>
          </w:tcPr>
          <w:p>
            <w:r>
              <w:t>48.2</w:t>
            </w:r>
          </w:p>
        </w:tc>
      </w:tr>
      <w:tr>
        <w:tc>
          <w:tcPr>
            <w:tcW w:type="dxa" w:w="2160"/>
          </w:tcPr>
          <w:p>
            <w:r>
              <w:t>Seam-III</w:t>
            </w:r>
          </w:p>
        </w:tc>
        <w:tc>
          <w:tcPr>
            <w:tcW w:type="dxa" w:w="2160"/>
          </w:tcPr>
          <w:p>
            <w:r>
              <w:t>380</w:t>
            </w:r>
          </w:p>
        </w:tc>
        <w:tc>
          <w:tcPr>
            <w:tcW w:type="dxa" w:w="2160"/>
          </w:tcPr>
          <w:p>
            <w:r>
              <w:t>5.6</w:t>
            </w:r>
          </w:p>
        </w:tc>
        <w:tc>
          <w:tcPr>
            <w:tcW w:type="dxa" w:w="2160"/>
          </w:tcPr>
          <w:p>
            <w:r>
              <w:t>52.7</w:t>
            </w:r>
          </w:p>
        </w:tc>
      </w:tr>
      <w:tr>
        <w:tc>
          <w:tcPr>
            <w:tcW w:type="dxa" w:w="2160"/>
          </w:tcPr>
          <w:p>
            <w:r>
              <w:t>Seam-IV</w:t>
            </w:r>
          </w:p>
        </w:tc>
        <w:tc>
          <w:tcPr>
            <w:tcW w:type="dxa" w:w="2160"/>
          </w:tcPr>
          <w:p>
            <w:r>
              <w:t>310</w:t>
            </w:r>
          </w:p>
        </w:tc>
        <w:tc>
          <w:tcPr>
            <w:tcW w:type="dxa" w:w="2160"/>
          </w:tcPr>
          <w:p>
            <w:r>
              <w:t>4.3</w:t>
            </w:r>
          </w:p>
        </w:tc>
        <w:tc>
          <w:tcPr>
            <w:tcW w:type="dxa" w:w="2160"/>
          </w:tcPr>
          <w:p>
            <w:r>
              <w:t>41.7</w:t>
            </w:r>
          </w:p>
        </w:tc>
      </w:tr>
      <w:tr>
        <w:tc>
          <w:tcPr>
            <w:tcW w:type="dxa" w:w="2160"/>
          </w:tcPr>
          <w:p>
            <w:r>
              <w:t>TOTAL</w:t>
            </w:r>
          </w:p>
        </w:tc>
        <w:tc>
          <w:tcPr>
            <w:tcW w:type="dxa" w:w="2160"/>
          </w:tcPr>
          <w:p>
            <w:r>
              <w:t>—</w:t>
            </w:r>
          </w:p>
        </w:tc>
        <w:tc>
          <w:tcPr>
            <w:tcW w:type="dxa" w:w="2160"/>
          </w:tcPr>
          <w:p>
            <w:r>
              <w:t>—</w:t>
            </w:r>
          </w:p>
        </w:tc>
        <w:tc>
          <w:tcPr>
            <w:tcW w:type="dxa" w:w="2160"/>
          </w:tcPr>
          <w:p>
            <w:r>
              <w:t>142.6</w:t>
            </w:r>
          </w:p>
        </w:tc>
      </w:tr>
    </w:tbl>
    <w:p/>
    <w:p>
      <w:r>
        <w:rPr>
          <w:b w:val="0"/>
        </w:rPr>
        <w:t>Total Estimated Coal Reserve: 142.6 Million Tonnes (MT)</w:t>
        <w:br/>
        <w:t>Coal Grade: G8 (as per BIS IS 770:2015 classification)</w:t>
        <w:br/>
        <w:t>Estimation Method: Cross-Sectional Method</w:t>
        <w:br/>
        <w:t>Confidence Level: Indicated (Category B)</w:t>
      </w:r>
    </w:p>
    <w:p>
      <w:pPr>
        <w:pStyle w:val="Heading1"/>
      </w:pPr>
      <w:r>
        <w:t>4. Annual Production</w:t>
      </w:r>
    </w:p>
    <w:p>
      <w:r>
        <w:t>Annual coal production target for FY 2022-23: 3.80 Million Tonnes. Actual production achieved: 3.76 MT (98.9% of target). Overburden removal: 14.3 MCM.</w:t>
      </w:r>
    </w:p>
    <w:p>
      <w:pPr>
        <w:pStyle w:val="Heading1"/>
      </w:pPr>
      <w:r>
        <w:t>5. Environmental Notes</w:t>
      </w:r>
    </w:p>
    <w:p>
      <w:r>
        <w:t>The project operates under Environmental Clearance No. J-11015/77/2004-IA.II(M) dated 14 March 2005, as amended. Green belt development, surface water quality monitoring, and dust suppression measures are maintained in compliance with MoEFCC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