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GEOLOGICAL REPORT</w:t>
      </w:r>
    </w:p>
    <w:p>
      <w:pPr>
        <w:jc w:val="center"/>
      </w:pPr>
      <w:r>
        <w:rPr>
          <w:b/>
          <w:sz w:val="26"/>
        </w:rPr>
        <w:t>KRANTI OPENCAST PROJECT (OCP), FY 2023-24</w:t>
      </w:r>
    </w:p>
    <w:p/>
    <w:tbl>
      <w:tblPr>
        <w:tblStyle w:val="TableGrid"/>
        <w:tblW w:type="auto" w:w="0"/>
        <w:tblLook w:firstColumn="1" w:firstRow="1" w:lastColumn="0" w:lastRow="0" w:noHBand="0" w:noVBand="1" w:val="04A0"/>
      </w:tblPr>
      <w:tblGrid>
        <w:gridCol w:w="4320"/>
        <w:gridCol w:w="4320"/>
      </w:tblGrid>
      <w:tr>
        <w:tc>
          <w:tcPr>
            <w:tcW w:type="dxa" w:w="4320"/>
          </w:tcPr>
          <w:p>
            <w:r>
              <w:rPr>
                <w:b/>
              </w:rPr>
              <w:t>Mine Name</w:t>
            </w:r>
          </w:p>
        </w:tc>
        <w:tc>
          <w:tcPr>
            <w:tcW w:type="dxa" w:w="4320"/>
          </w:tcPr>
          <w:p>
            <w:r>
              <w:t>Kranti Opencast Project (OCP)</w:t>
            </w:r>
          </w:p>
        </w:tc>
      </w:tr>
      <w:tr>
        <w:tc>
          <w:tcPr>
            <w:tcW w:type="dxa" w:w="4320"/>
          </w:tcPr>
          <w:p>
            <w:r>
              <w:rPr>
                <w:b/>
              </w:rPr>
              <w:t>Company</w:t>
            </w:r>
          </w:p>
        </w:tc>
        <w:tc>
          <w:tcPr>
            <w:tcW w:type="dxa" w:w="4320"/>
          </w:tcPr>
          <w:p>
            <w:r>
              <w:t>Eastern Coalfields Limited (ECL)</w:t>
            </w:r>
          </w:p>
        </w:tc>
      </w:tr>
      <w:tr>
        <w:tc>
          <w:tcPr>
            <w:tcW w:type="dxa" w:w="4320"/>
          </w:tcPr>
          <w:p>
            <w:r>
              <w:rPr>
                <w:b/>
              </w:rPr>
              <w:t>Location</w:t>
            </w:r>
          </w:p>
        </w:tc>
        <w:tc>
          <w:tcPr>
            <w:tcW w:type="dxa" w:w="4320"/>
          </w:tcPr>
          <w:p>
            <w:r>
              <w:t>Raniganj Coalfield, Paschim Bardhaman, West Bengal</w:t>
            </w:r>
          </w:p>
        </w:tc>
      </w:tr>
      <w:tr>
        <w:tc>
          <w:tcPr>
            <w:tcW w:type="dxa" w:w="4320"/>
          </w:tcPr>
          <w:p>
            <w:r>
              <w:rPr>
                <w:b/>
              </w:rPr>
              <w:t>Mine Type</w:t>
            </w:r>
          </w:p>
        </w:tc>
        <w:tc>
          <w:tcPr>
            <w:tcW w:type="dxa" w:w="4320"/>
          </w:tcPr>
          <w:p>
            <w:r>
              <w:t>Opencast</w:t>
            </w:r>
          </w:p>
        </w:tc>
      </w:tr>
      <w:tr>
        <w:tc>
          <w:tcPr>
            <w:tcW w:type="dxa" w:w="4320"/>
          </w:tcPr>
          <w:p>
            <w:r>
              <w:rPr>
                <w:b/>
              </w:rPr>
              <w:t>Fiscal Year</w:t>
            </w:r>
          </w:p>
        </w:tc>
        <w:tc>
          <w:tcPr>
            <w:tcW w:type="dxa" w:w="4320"/>
          </w:tcPr>
          <w:p>
            <w:r>
              <w:t>2023-24</w:t>
            </w:r>
          </w:p>
        </w:tc>
      </w:tr>
      <w:tr>
        <w:tc>
          <w:tcPr>
            <w:tcW w:type="dxa" w:w="4320"/>
          </w:tcPr>
          <w:p>
            <w:r>
              <w:rPr>
                <w:b/>
              </w:rPr>
              <w:t>Report Date</w:t>
            </w:r>
          </w:p>
        </w:tc>
        <w:tc>
          <w:tcPr>
            <w:tcW w:type="dxa" w:w="4320"/>
          </w:tcPr>
          <w:p>
            <w:r>
              <w:t>March 31, 2024</w:t>
            </w:r>
          </w:p>
        </w:tc>
      </w:tr>
      <w:tr>
        <w:tc>
          <w:tcPr>
            <w:tcW w:type="dxa" w:w="4320"/>
          </w:tcPr>
          <w:p>
            <w:r>
              <w:rPr>
                <w:b/>
              </w:rPr>
              <w:t>Coal Grade</w:t>
            </w:r>
          </w:p>
        </w:tc>
        <w:tc>
          <w:tcPr>
            <w:tcW w:type="dxa" w:w="4320"/>
          </w:tcPr>
          <w:p>
            <w:r>
              <w:t>G8</w:t>
            </w:r>
          </w:p>
        </w:tc>
      </w:tr>
      <w:tr>
        <w:tc>
          <w:tcPr>
            <w:tcW w:type="dxa" w:w="4320"/>
          </w:tcPr>
          <w:p>
            <w:r>
              <w:rPr>
                <w:b/>
              </w:rPr>
              <w:t>Estimation Method</w:t>
            </w:r>
          </w:p>
        </w:tc>
        <w:tc>
          <w:tcPr>
            <w:tcW w:type="dxa" w:w="4320"/>
          </w:tcPr>
          <w:p>
            <w:r>
              <w:t>Polygon Method</w:t>
            </w:r>
          </w:p>
        </w:tc>
      </w:tr>
    </w:tbl>
    <w:p/>
    <w:p>
      <w:pPr>
        <w:pStyle w:val="Heading1"/>
      </w:pPr>
      <w:r>
        <w:t>1. Introduction</w:t>
      </w:r>
    </w:p>
    <w:p>
      <w:r>
        <w:t>This geological report for FY 2023-24 presents the updated reserve assessment for Kranti Opencast Project, based on revised borehole data and updated geological mapping conducted during the previous year. Production planning for the upcoming fiscal year is based on these revised estimates.</w:t>
      </w:r>
    </w:p>
    <w:p>
      <w:r>
        <w:t>Reserves have been re-estimated using the Polygon Method to improve spatial accuracy in the deeper seam blocks. This report supersedes the FY 2022-23 geological report for reserve planning purposes.</w:t>
      </w:r>
    </w:p>
    <w:p>
      <w:pPr>
        <w:pStyle w:val="Heading1"/>
      </w:pPr>
      <w:r>
        <w:t>2. Geological Setting</w:t>
      </w:r>
    </w:p>
    <w:p>
      <w:r>
        <w:t>No major structural changes have been identified compared to the previous year's assessment. Minor faulting at Block-7 has been incorporated into the updated geological model, resulting in a revised mineable reserve estimate for that block.</w:t>
      </w:r>
    </w:p>
    <w:p>
      <w:pPr>
        <w:pStyle w:val="Heading1"/>
      </w:pPr>
      <w:r>
        <w:t>3. Reserve Estimation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Seam</w:t>
            </w:r>
          </w:p>
        </w:tc>
        <w:tc>
          <w:tcPr>
            <w:tcW w:type="dxa" w:w="2160"/>
          </w:tcPr>
          <w:p>
            <w:r>
              <w:rPr>
                <w:b/>
              </w:rPr>
              <w:t>Area (ha)</w:t>
            </w:r>
          </w:p>
        </w:tc>
        <w:tc>
          <w:tcPr>
            <w:tcW w:type="dxa" w:w="2160"/>
          </w:tcPr>
          <w:p>
            <w:r>
              <w:rPr>
                <w:b/>
              </w:rPr>
              <w:t>Average Thickness (m)</w:t>
            </w:r>
          </w:p>
        </w:tc>
        <w:tc>
          <w:tcPr>
            <w:tcW w:type="dxa" w:w="2160"/>
          </w:tcPr>
          <w:p>
            <w:r>
              <w:rPr>
                <w:b/>
              </w:rPr>
              <w:t>Reserve (MT)</w:t>
            </w:r>
          </w:p>
        </w:tc>
      </w:tr>
      <w:tr>
        <w:tc>
          <w:tcPr>
            <w:tcW w:type="dxa" w:w="2160"/>
          </w:tcPr>
          <w:p>
            <w:r>
              <w:t>Seam-II</w:t>
            </w:r>
          </w:p>
        </w:tc>
        <w:tc>
          <w:tcPr>
            <w:tcW w:type="dxa" w:w="2160"/>
          </w:tcPr>
          <w:p>
            <w:r>
              <w:t>415</w:t>
            </w:r>
          </w:p>
        </w:tc>
        <w:tc>
          <w:tcPr>
            <w:tcW w:type="dxa" w:w="2160"/>
          </w:tcPr>
          <w:p>
            <w:r>
              <w:t>4.7</w:t>
            </w:r>
          </w:p>
        </w:tc>
        <w:tc>
          <w:tcPr>
            <w:tcW w:type="dxa" w:w="2160"/>
          </w:tcPr>
          <w:p>
            <w:r>
              <w:t>47.1</w:t>
            </w:r>
          </w:p>
        </w:tc>
      </w:tr>
      <w:tr>
        <w:tc>
          <w:tcPr>
            <w:tcW w:type="dxa" w:w="2160"/>
          </w:tcPr>
          <w:p>
            <w:r>
              <w:t>Seam-III</w:t>
            </w:r>
          </w:p>
        </w:tc>
        <w:tc>
          <w:tcPr>
            <w:tcW w:type="dxa" w:w="2160"/>
          </w:tcPr>
          <w:p>
            <w:r>
              <w:t>372</w:t>
            </w:r>
          </w:p>
        </w:tc>
        <w:tc>
          <w:tcPr>
            <w:tcW w:type="dxa" w:w="2160"/>
          </w:tcPr>
          <w:p>
            <w:r>
              <w:t>5.5</w:t>
            </w:r>
          </w:p>
        </w:tc>
        <w:tc>
          <w:tcPr>
            <w:tcW w:type="dxa" w:w="2160"/>
          </w:tcPr>
          <w:p>
            <w:r>
              <w:t>50.8</w:t>
            </w:r>
          </w:p>
        </w:tc>
      </w:tr>
      <w:tr>
        <w:tc>
          <w:tcPr>
            <w:tcW w:type="dxa" w:w="2160"/>
          </w:tcPr>
          <w:p>
            <w:r>
              <w:t>Seam-IV</w:t>
            </w:r>
          </w:p>
        </w:tc>
        <w:tc>
          <w:tcPr>
            <w:tcW w:type="dxa" w:w="2160"/>
          </w:tcPr>
          <w:p>
            <w:r>
              <w:t>302</w:t>
            </w:r>
          </w:p>
        </w:tc>
        <w:tc>
          <w:tcPr>
            <w:tcW w:type="dxa" w:w="2160"/>
          </w:tcPr>
          <w:p>
            <w:r>
              <w:t>4.2</w:t>
            </w:r>
          </w:p>
        </w:tc>
        <w:tc>
          <w:tcPr>
            <w:tcW w:type="dxa" w:w="2160"/>
          </w:tcPr>
          <w:p>
            <w:r>
              <w:t>41.0</w:t>
            </w:r>
          </w:p>
        </w:tc>
      </w:tr>
      <w:tr>
        <w:tc>
          <w:tcPr>
            <w:tcW w:type="dxa" w:w="2160"/>
          </w:tcPr>
          <w:p>
            <w:r>
              <w:t>TOTAL</w:t>
            </w:r>
          </w:p>
        </w:tc>
        <w:tc>
          <w:tcPr>
            <w:tcW w:type="dxa" w:w="2160"/>
          </w:tcPr>
          <w:p>
            <w:r>
              <w:t>—</w:t>
            </w:r>
          </w:p>
        </w:tc>
        <w:tc>
          <w:tcPr>
            <w:tcW w:type="dxa" w:w="2160"/>
          </w:tcPr>
          <w:p>
            <w:r>
              <w:t>—</w:t>
            </w:r>
          </w:p>
        </w:tc>
        <w:tc>
          <w:tcPr>
            <w:tcW w:type="dxa" w:w="2160"/>
          </w:tcPr>
          <w:p>
            <w:r>
              <w:t>138.9</w:t>
            </w:r>
          </w:p>
        </w:tc>
      </w:tr>
    </w:tbl>
    <w:p/>
    <w:p>
      <w:r>
        <w:t>Total Estimated Coal Reserve: 138.9 Million Tonnes (MT)</w:t>
        <w:br/>
        <w:t>Coal Grade: G8</w:t>
        <w:br/>
        <w:t>Estimation Method: Polygon Method</w:t>
        <w:br/>
        <w:t>Confidence Level: Indicated (Category B)</w:t>
      </w:r>
    </w:p>
    <w:p>
      <w:pPr>
        <w:pStyle w:val="Heading1"/>
      </w:pPr>
      <w:r>
        <w:t>4. Annual Production</w:t>
      </w:r>
    </w:p>
    <w:p>
      <w:r>
        <w:t>Annual coal production for FY 2023-24: 3.91 Million Tonnes. Overburden removal: 15.1 MCM. Stripping ratio: 3.87 m³/tonne.</w:t>
      </w:r>
    </w:p>
    <w:p>
      <w:pPr>
        <w:pStyle w:val="Heading1"/>
      </w:pPr>
      <w:r>
        <w:t>5. Environmental Notes</w:t>
      </w:r>
    </w:p>
    <w:p>
      <w:r>
        <w:t>Environmental compliance monitoring continues as per MoEFCC conditions. Plantation area increased to 48.2 hectares during FY 2023-24. Water quality monitoring at 6 stations shows all parameters within permissible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