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RESERVE ESTIMATION REPORT</w:t>
      </w:r>
    </w:p>
    <w:p>
      <w:pPr>
        <w:jc w:val="center"/>
      </w:pPr>
      <w:r>
        <w:rPr>
          <w:b/>
          <w:sz w:val="24"/>
        </w:rPr>
        <w:t>KRANTI COLLIERY — HISTORICAL BASELINE RECORD</w:t>
      </w:r>
    </w:p>
    <w:p/>
    <w:tbl>
      <w:tblPr>
        <w:tblStyle w:val="TableGrid"/>
        <w:tblW w:type="auto" w:w="0"/>
        <w:tblLook w:firstColumn="1" w:firstRow="1" w:lastColumn="0" w:lastRow="0" w:noHBand="0" w:noVBand="1" w:val="04A0"/>
      </w:tblPr>
      <w:tblGrid>
        <w:gridCol w:w="4320"/>
        <w:gridCol w:w="4320"/>
      </w:tblGrid>
      <w:tr>
        <w:tc>
          <w:tcPr>
            <w:tcW w:type="dxa" w:w="4320"/>
          </w:tcPr>
          <w:p>
            <w:r>
              <w:rPr>
                <w:b/>
              </w:rPr>
              <w:t>Mine Name</w:t>
            </w:r>
          </w:p>
        </w:tc>
        <w:tc>
          <w:tcPr>
            <w:tcW w:type="dxa" w:w="4320"/>
          </w:tcPr>
          <w:p>
            <w:r>
              <w:t>Kranti Colliery (Now: Kranti OCP)</w:t>
            </w:r>
          </w:p>
        </w:tc>
      </w:tr>
      <w:tr>
        <w:tc>
          <w:tcPr>
            <w:tcW w:type="dxa" w:w="4320"/>
          </w:tcPr>
          <w:p>
            <w:r>
              <w:rPr>
                <w:b/>
              </w:rPr>
              <w:t>Company</w:t>
            </w:r>
          </w:p>
        </w:tc>
        <w:tc>
          <w:tcPr>
            <w:tcW w:type="dxa" w:w="4320"/>
          </w:tcPr>
          <w:p>
            <w:r>
              <w:t>Eastern Coalfields Limited (ECL)</w:t>
            </w:r>
          </w:p>
        </w:tc>
      </w:tr>
      <w:tr>
        <w:tc>
          <w:tcPr>
            <w:tcW w:type="dxa" w:w="4320"/>
          </w:tcPr>
          <w:p>
            <w:r>
              <w:rPr>
                <w:b/>
              </w:rPr>
              <w:t>Location</w:t>
            </w:r>
          </w:p>
        </w:tc>
        <w:tc>
          <w:tcPr>
            <w:tcW w:type="dxa" w:w="4320"/>
          </w:tcPr>
          <w:p>
            <w:r>
              <w:t>Raniganj Coalfield, Burdwan, West Bengal</w:t>
            </w:r>
          </w:p>
        </w:tc>
      </w:tr>
      <w:tr>
        <w:tc>
          <w:tcPr>
            <w:tcW w:type="dxa" w:w="4320"/>
          </w:tcPr>
          <w:p>
            <w:r>
              <w:rPr>
                <w:b/>
              </w:rPr>
              <w:t>Report Date</w:t>
            </w:r>
          </w:p>
        </w:tc>
        <w:tc>
          <w:tcPr>
            <w:tcW w:type="dxa" w:w="4320"/>
          </w:tcPr>
          <w:p>
            <w:r>
              <w:t>September 15, 2019</w:t>
            </w:r>
          </w:p>
        </w:tc>
      </w:tr>
      <w:tr>
        <w:tc>
          <w:tcPr>
            <w:tcW w:type="dxa" w:w="4320"/>
          </w:tcPr>
          <w:p>
            <w:r>
              <w:rPr>
                <w:b/>
              </w:rPr>
              <w:t>Coal Grade</w:t>
            </w:r>
          </w:p>
        </w:tc>
        <w:tc>
          <w:tcPr>
            <w:tcW w:type="dxa" w:w="4320"/>
          </w:tcPr>
          <w:p>
            <w:r>
              <w:t>G7</w:t>
            </w:r>
          </w:p>
        </w:tc>
      </w:tr>
      <w:tr>
        <w:tc>
          <w:tcPr>
            <w:tcW w:type="dxa" w:w="4320"/>
          </w:tcPr>
          <w:p>
            <w:r>
              <w:rPr>
                <w:b/>
              </w:rPr>
              <w:t>Estimation Method</w:t>
            </w:r>
          </w:p>
        </w:tc>
        <w:tc>
          <w:tcPr>
            <w:tcW w:type="dxa" w:w="4320"/>
          </w:tcPr>
          <w:p>
            <w:r>
              <w:t>Cross-Sectional Method</w:t>
            </w:r>
          </w:p>
        </w:tc>
      </w:tr>
      <w:tr>
        <w:tc>
          <w:tcPr>
            <w:tcW w:type="dxa" w:w="4320"/>
          </w:tcPr>
          <w:p>
            <w:r>
              <w:rPr>
                <w:b/>
              </w:rPr>
              <w:t>Document Status</w:t>
            </w:r>
          </w:p>
        </w:tc>
        <w:tc>
          <w:tcPr>
            <w:tcW w:type="dxa" w:w="4320"/>
          </w:tcPr>
          <w:p>
            <w:r>
              <w:t>ARCHIVED — Historical Reference Only</w:t>
            </w:r>
          </w:p>
        </w:tc>
      </w:tr>
    </w:tbl>
    <w:p/>
    <w:p>
      <w:pPr>
        <w:pStyle w:val="Heading1"/>
      </w:pPr>
      <w:r>
        <w:t>Preamble</w:t>
      </w:r>
    </w:p>
    <w:p>
      <w:r>
        <w:t>This report constitutes the baseline geological reserve estimation for the Kranti Colliery, conducted during the pre-expansion feasibility study of 2018-19. At the time of this assessment, the mine operated partially as an underground mine with opencast operations limited to the western block. This document is maintained as a historical reference and does not reflect current reserve positions.</w:t>
      </w:r>
    </w:p>
    <w:p>
      <w:r>
        <w:t>Coal sampling and grade analysis were conducted by CMPDI Ranchi and Dhanbad Regional Institute. The coal was classified as Grade G7 under the then-prevailing BIS classification norms. Subsequent reclassification exercises by CMPDI (if any) are not reflected in this archived document.</w:t>
      </w:r>
    </w:p>
    <w:p>
      <w:r>
        <w:t>Reserve estimates were computed using the Cross-Sectional Method based on 64 exploratory boreholes drilled between 2014 and 2018. The total estimated reserve stood at 156.2 Million Tonnes as on April 1, 2019, prior to commencement of full-scale opencast production.</w:t>
      </w:r>
    </w:p>
    <w:p>
      <w:pPr>
        <w:pStyle w:val="Heading1"/>
      </w:pPr>
      <w:r>
        <w:t>Seam-wise Reserve Summary (As on April 1, 2019)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Seam</w:t>
            </w:r>
          </w:p>
        </w:tc>
        <w:tc>
          <w:tcPr>
            <w:tcW w:type="dxa" w:w="2160"/>
          </w:tcPr>
          <w:p>
            <w:r>
              <w:rPr>
                <w:b/>
              </w:rPr>
              <w:t>Category</w:t>
            </w:r>
          </w:p>
        </w:tc>
        <w:tc>
          <w:tcPr>
            <w:tcW w:type="dxa" w:w="2160"/>
          </w:tcPr>
          <w:p>
            <w:r>
              <w:rPr>
                <w:b/>
              </w:rPr>
              <w:t>Grade</w:t>
            </w:r>
          </w:p>
        </w:tc>
        <w:tc>
          <w:tcPr>
            <w:tcW w:type="dxa" w:w="2160"/>
          </w:tcPr>
          <w:p>
            <w:r>
              <w:rPr>
                <w:b/>
              </w:rPr>
              <w:t>Reserve (MT)</w:t>
            </w:r>
          </w:p>
        </w:tc>
      </w:tr>
      <w:tr>
        <w:tc>
          <w:tcPr>
            <w:tcW w:type="dxa" w:w="2160"/>
          </w:tcPr>
          <w:p>
            <w:r>
              <w:t>Seam-II</w:t>
            </w:r>
          </w:p>
        </w:tc>
        <w:tc>
          <w:tcPr>
            <w:tcW w:type="dxa" w:w="2160"/>
          </w:tcPr>
          <w:p>
            <w:r>
              <w:t>Indicated (Cat B)</w:t>
            </w:r>
          </w:p>
        </w:tc>
        <w:tc>
          <w:tcPr>
            <w:tcW w:type="dxa" w:w="2160"/>
          </w:tcPr>
          <w:p>
            <w:r>
              <w:t>G7</w:t>
            </w:r>
          </w:p>
        </w:tc>
        <w:tc>
          <w:tcPr>
            <w:tcW w:type="dxa" w:w="2160"/>
          </w:tcPr>
          <w:p>
            <w:r>
              <w:t>52.4</w:t>
            </w:r>
          </w:p>
        </w:tc>
      </w:tr>
      <w:tr>
        <w:tc>
          <w:tcPr>
            <w:tcW w:type="dxa" w:w="2160"/>
          </w:tcPr>
          <w:p>
            <w:r>
              <w:t>Seam-III</w:t>
            </w:r>
          </w:p>
        </w:tc>
        <w:tc>
          <w:tcPr>
            <w:tcW w:type="dxa" w:w="2160"/>
          </w:tcPr>
          <w:p>
            <w:r>
              <w:t>Indicated (Cat B)</w:t>
            </w:r>
          </w:p>
        </w:tc>
        <w:tc>
          <w:tcPr>
            <w:tcW w:type="dxa" w:w="2160"/>
          </w:tcPr>
          <w:p>
            <w:r>
              <w:t>G7</w:t>
            </w:r>
          </w:p>
        </w:tc>
        <w:tc>
          <w:tcPr>
            <w:tcW w:type="dxa" w:w="2160"/>
          </w:tcPr>
          <w:p>
            <w:r>
              <w:t>58.1</w:t>
            </w:r>
          </w:p>
        </w:tc>
      </w:tr>
      <w:tr>
        <w:tc>
          <w:tcPr>
            <w:tcW w:type="dxa" w:w="2160"/>
          </w:tcPr>
          <w:p>
            <w:r>
              <w:t>Seam-IV</w:t>
            </w:r>
          </w:p>
        </w:tc>
        <w:tc>
          <w:tcPr>
            <w:tcW w:type="dxa" w:w="2160"/>
          </w:tcPr>
          <w:p>
            <w:r>
              <w:t>Inferred (Cat C)</w:t>
            </w:r>
          </w:p>
        </w:tc>
        <w:tc>
          <w:tcPr>
            <w:tcW w:type="dxa" w:w="2160"/>
          </w:tcPr>
          <w:p>
            <w:r>
              <w:t>G7</w:t>
            </w:r>
          </w:p>
        </w:tc>
        <w:tc>
          <w:tcPr>
            <w:tcW w:type="dxa" w:w="2160"/>
          </w:tcPr>
          <w:p>
            <w:r>
              <w:t>45.7</w:t>
            </w:r>
          </w:p>
        </w:tc>
      </w:tr>
      <w:tr>
        <w:tc>
          <w:tcPr>
            <w:tcW w:type="dxa" w:w="2160"/>
          </w:tcPr>
          <w:p>
            <w:r>
              <w:t>Seam-V</w:t>
            </w:r>
          </w:p>
        </w:tc>
        <w:tc>
          <w:tcPr>
            <w:tcW w:type="dxa" w:w="2160"/>
          </w:tcPr>
          <w:p>
            <w:r>
              <w:t>Inferred (Cat C)</w:t>
            </w:r>
          </w:p>
        </w:tc>
        <w:tc>
          <w:tcPr>
            <w:tcW w:type="dxa" w:w="2160"/>
          </w:tcPr>
          <w:p>
            <w:r>
              <w:t>G7</w:t>
            </w:r>
          </w:p>
        </w:tc>
        <w:tc>
          <w:tcPr>
            <w:tcW w:type="dxa" w:w="2160"/>
          </w:tcPr>
          <w:p>
            <w:r>
              <w:t>— (Not quantified)</w:t>
            </w:r>
          </w:p>
        </w:tc>
      </w:tr>
      <w:tr>
        <w:tc>
          <w:tcPr>
            <w:tcW w:type="dxa" w:w="2160"/>
          </w:tcPr>
          <w:p>
            <w:r>
              <w:t>TOTAL</w:t>
            </w:r>
          </w:p>
        </w:tc>
        <w:tc>
          <w:tcPr>
            <w:tcW w:type="dxa" w:w="2160"/>
          </w:tcPr>
          <w:p>
            <w:r>
              <w:t>—</w:t>
            </w:r>
          </w:p>
        </w:tc>
        <w:tc>
          <w:tcPr>
            <w:tcW w:type="dxa" w:w="2160"/>
          </w:tcPr>
          <w:p>
            <w:r>
              <w:t>G7</w:t>
            </w:r>
          </w:p>
        </w:tc>
        <w:tc>
          <w:tcPr>
            <w:tcW w:type="dxa" w:w="2160"/>
          </w:tcPr>
          <w:p>
            <w:r>
              <w:t>156.2</w:t>
            </w:r>
          </w:p>
        </w:tc>
      </w:tr>
    </w:tbl>
    <w:p/>
    <w:p>
      <w:pPr>
        <w:pStyle w:val="Heading1"/>
      </w:pPr>
      <w:r>
        <w:t>Notes and Limitations</w:t>
      </w:r>
    </w:p>
    <w:p>
      <w:r>
        <w:t>1. This document was prepared under the 2019 IBM Reserve Estimation Guidelines.</w:t>
        <w:br/>
        <w:t>2. Coal grade G7 is as per BIS IS 770 (2004 version) classification.</w:t>
        <w:br/>
        <w:t>3. Reserve figures are pre-mining; actual mineable reserves will be lower after depletion.</w:t>
        <w:br/>
        <w:t>4. This archived document should NOT be used for current production planning or regulatory submissions.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