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22"/>
        </w:rPr>
        <w:t>GOVERNMENT OF INDIA / EASTERN COALFIELDS LIMITED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4320"/>
          </w:tcPr>
          <w:p>
            <w:r>
              <w:t>MoEFCC Regional Office, Bhubaneswar (Internal Tracking Note — ECL Project Team)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</w:t>
            </w:r>
          </w:p>
        </w:tc>
        <w:tc>
          <w:tcPr>
            <w:tcW w:type="dxa" w:w="4320"/>
          </w:tcPr>
          <w:p>
            <w:r>
              <w:t>Director (Projects), Eastern Coalfields Limited, Sanctoria [INTERNAL]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March 5, 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/>
    <w:p>
      <w:r>
        <w:rPr>
          <w:b/>
        </w:rPr>
        <w:t xml:space="preserve">SUBJECT: </w:t>
      </w:r>
      <w:r>
        <w:t>PENDING: Forest Clearance Application — Kranti OCP Phase II (No Response from MoEFCC as of September 30, 2026)</w:t>
      </w:r>
    </w:p>
    <w:p/>
    <w:p>
      <w:r>
        <w:t>Sir/Madam,</w:t>
      </w:r>
    </w:p>
    <w:p/>
    <w:p>
      <w:r>
        <w:t>INTERNAL TRACKING NOTE — This document records the status of ECL's Forest Clearance application (Ref: ECL/FC/KROCP/2024/01 dated March 1, 2024) submitted to MoEFCC for Kranti OCP Phase II expansion.</w:t>
      </w:r>
    </w:p>
    <w:p>
      <w:r>
        <w:t>As of September 30, 2026, the Ministry of Environment, Forest and Climate Change (MoEFCC) has NOT responded to the above application. The application has been pending for 579 days with no Stage-I clearance communication, no acknowledgement of deficiency, and no request for additional information received from MoEFCC.</w:t>
      </w:r>
    </w:p>
    <w:p>
      <w:r>
        <w:t>Follow-up communications sent by ECL on: March 5, 2024 (acknowledgement request); June 15, 2024 (reminder); November 8, 2024 (escalation to ADG level); March 20, 2025 (reminder to Regional Office, Bhubaneswar). No response received to any.</w:t>
      </w:r>
    </w:p>
    <w:p>
      <w:r>
        <w:t>STATUS: BOTTLENECK — This is the critical path item blocking Phase II expansion. Days pending as on September 30, 2026: 579 days. Escalation to Secretary (Forests), MoEFCC is recommended immediately.</w:t>
      </w:r>
    </w:p>
    <w:p/>
    <w:p>
      <w:r>
        <w:t>Yours faithfully,</w:t>
      </w:r>
    </w:p>
    <w:p/>
    <w:p>
      <w:r>
        <w:t>(Authorised Signatory)</w:t>
      </w:r>
    </w:p>
    <w:p>
      <w:r>
        <w:t>MoEFCC Regional Office, Bhubaneswar (Internal Tracking Note — ECL Project Team)</w:t>
      </w:r>
    </w:p>
    <w:p>
      <w:r>
        <w:t>Date: March 5,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