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z</w:t>
      </w:r>
    </w:p>
    <w:tbl>
      <w:tblPr>
        <w:tblW w:w="9465" w:type="dxa"/>
        <w:jc w:val="left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144"/>
        <w:gridCol w:w="1403"/>
        <w:gridCol w:w="4297"/>
        <w:gridCol w:w="2621"/>
      </w:tblGrid>
      <w:tr>
        <w:trPr>
          <w:trHeight w:val="240" w:hRule="atLeast"/>
        </w:trPr>
        <w:tc>
          <w:tcPr>
            <w:tcW w:w="25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69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5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69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- 2018</w:t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aga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Rare Species Posting and Reviewing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(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) is a system where people can post, rate and comment different  posts for rare species. The system will be developed using </w:t>
            </w:r>
            <w:r>
              <w:rPr>
                <w:rFonts w:eastAsia="Arial" w:cs="Arial" w:ascii="Arial" w:hAnsi="Arial"/>
                <w:b/>
                <w:i/>
              </w:rPr>
              <w:t>Spring 5 Application Development Framework (SpringMVC)</w:t>
            </w:r>
            <w:r>
              <w:rPr>
                <w:rFonts w:eastAsia="Arial" w:cs="Arial" w:ascii="Arial" w:hAnsi="Arial"/>
              </w:rPr>
              <w:t xml:space="preserve"> in its backend part. The frontend part will be realized with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Thymeleaf</w:t>
            </w:r>
            <w:r>
              <w:rPr>
                <w:rFonts w:eastAsia="Arial" w:cs="Arial" w:ascii="Arial" w:hAnsi="Arial"/>
                <w:b/>
              </w:rPr>
              <w:t>/Bootstrap</w:t>
            </w:r>
            <w:r>
              <w:rPr>
                <w:rFonts w:eastAsia="Arial" w:cs="Arial" w:ascii="Arial" w:hAnsi="Arial"/>
              </w:rPr>
              <w:t xml:space="preserve">. Database layer will be realized with </w:t>
            </w:r>
            <w:r>
              <w:rPr>
                <w:rFonts w:eastAsia="Arial" w:cs="Arial" w:ascii="Arial" w:hAnsi="Arial"/>
                <w:b/>
              </w:rPr>
              <w:t>Hibernate,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MySQL</w:t>
            </w:r>
            <w:r>
              <w:rPr>
                <w:rFonts w:eastAsia="Arial" w:cs="Arial" w:ascii="Arial" w:hAnsi="Arial"/>
              </w:rPr>
              <w:t xml:space="preserve">. 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The main user roles are: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query and view post and register as regular user.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>User – can query, view, post,comment and edit(created by him) posts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– can query,view,comment and edit any post and user.</w:t>
            </w:r>
          </w:p>
          <w:p>
            <w:pPr>
              <w:pStyle w:val="Normal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>
          <w:trHeight w:val="452" w:hRule="atLeast"/>
        </w:trPr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Browse information 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Any user can browse the information views (Home, Register/Login, About,Posts).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login/register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>can login into the system using email and password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User can register using registration form. After registration user must verify his account using link sent to his/hers email.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The activation will happen with generated token binded to the actual user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info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User </w:t>
            </w:r>
            <w:r>
              <w:rPr>
                <w:rFonts w:eastAsia="Arial" w:cs="Arial" w:ascii="Arial" w:hAnsi="Arial"/>
              </w:rPr>
              <w:t xml:space="preserve">can change his personal infomration as his/hers real name, city, favourite species, etc. In addition they can hide their personal information so nobody except administrators can see </w:t>
            </w:r>
          </w:p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Anyone can query posts for species based on species type(tag), time created, person who created it or by title.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Create/Edit/Delete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and Aministrator can create posts as an html like format. (not direct html format, but one serialized to html)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can edit/delete their posts.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Admin can edit/delete any post. 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Review User profile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Every User can view other users profiles and their details(if enabled by the user).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only view  User’s personal information, but cannot change it</w:t>
            </w:r>
          </w:p>
          <w:p>
            <w:pPr>
              <w:pStyle w:val="Normal"/>
              <w:spacing w:before="0" w:after="240"/>
              <w:rPr/>
            </w:pPr>
            <w:r>
              <w:rPr/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Post/Edit/Delete/Rate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Users and administrators can post comments and like/dislike them. Users can edit and delete their comments. Administrators can edit and delete any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all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Administrators can view  all  users and query them by name and email.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remove users. Mainly if they use inappropriate language in comments or posts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Add/Remove admin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add/remove other administrators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how to start using it. Prominently offers ability to log 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User/Admin Login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login as User or Admin.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the details for the logged in User or selected user.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Also allows allows editing the information for current user.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/user/details/{user}</w:t>
            </w:r>
          </w:p>
        </w:tc>
      </w:tr>
      <w:tr>
        <w:trPr>
          <w:trHeight w:val="808" w:hRule="atLeast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register using email and pasword.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/register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Activation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Users activation.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/activate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viewing/filtering posts.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/posts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Post/Comments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detailed view of posts (and comments).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/post/view/{post}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post.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/post/edit/{post}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/comment/edit/{comment}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all users.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/admin/users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admins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managing admins.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/admin/admins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Feed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 all posts of a user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</w:t>
            </w:r>
            <w:r>
              <w:rPr>
                <w:rFonts w:eastAsia="Arial" w:cs="Arial" w:ascii="Arial" w:hAnsi="Arial"/>
                <w:i/>
                <w:iCs w:val="false"/>
              </w:rPr>
              <w:t>/post/{user}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information about the OTQR project and it’s owners.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247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54"/>
        <w:gridCol w:w="6397"/>
        <w:gridCol w:w="3419"/>
      </w:tblGrid>
      <w:tr>
        <w:trPr/>
        <w:tc>
          <w:tcPr>
            <w:tcW w:w="124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(Java Spring Backend)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GET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for all users, and POST new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. 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/api/user/</w:t>
            </w:r>
            <w:r>
              <w:rPr>
                <w:rFonts w:eastAsia="Arial" w:cs="Arial" w:ascii="Arial" w:hAnsi="Arial"/>
                <w:i/>
              </w:rPr>
              <w:t>users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GET,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id</w:t>
            </w:r>
            <w:r>
              <w:rPr>
                <w:rFonts w:eastAsia="Arial" w:cs="Arial" w:ascii="Arial" w:hAnsi="Arial"/>
                <w:i/>
              </w:rPr>
              <w:t>.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/api/user/</w:t>
            </w:r>
            <w:r>
              <w:rPr>
                <w:rFonts w:eastAsia="Arial" w:cs="Arial" w:ascii="Arial" w:hAnsi="Arial"/>
                <w:i/>
              </w:rPr>
              <w:t>users/{user}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GET,POST,DELETE all posts with filter / get posts by tag or username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/post/</w:t>
            </w:r>
            <w:r>
              <w:rPr>
                <w:rFonts w:eastAsia="Arial" w:cs="Arial" w:ascii="Arial" w:hAnsi="Arial"/>
                <w:i/>
                <w:iCs w:val="false"/>
              </w:rPr>
              <w:t>{post}&amp;</w:t>
            </w:r>
            <w:r>
              <w:rPr>
                <w:rFonts w:eastAsia="Arial" w:cs="Arial" w:ascii="Arial" w:hAnsi="Arial"/>
                <w:i/>
                <w:iCs w:val="false"/>
              </w:rPr>
              <w:t>{tag}&amp;{username}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bookmarkStart w:id="2" w:name="__DdeLink__448_1243866693"/>
            <w:bookmarkEnd w:id="2"/>
            <w:r>
              <w:rPr>
                <w:rFonts w:eastAsia="Arial" w:cs="Arial" w:ascii="Arial" w:hAnsi="Arial"/>
                <w:b/>
              </w:rPr>
              <w:t>Comments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PUT</w:t>
            </w:r>
            <w:r>
              <w:rPr>
                <w:rFonts w:eastAsia="Arial" w:cs="Arial" w:ascii="Arial" w:hAnsi="Arial"/>
                <w:i/>
              </w:rPr>
              <w:t xml:space="preserve">,POST,DELETE </w:t>
            </w:r>
            <w:r>
              <w:rPr>
                <w:rFonts w:eastAsia="Arial" w:cs="Arial" w:ascii="Arial" w:hAnsi="Arial"/>
                <w:i/>
              </w:rPr>
              <w:t>comments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/comment/{comment}</w:t>
            </w:r>
          </w:p>
        </w:tc>
      </w:tr>
      <w:tr>
        <w:trPr/>
        <w:tc>
          <w:tcPr>
            <w:tcW w:w="26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  <w:bCs/>
                <w:color w:val="00000A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A"/>
                <w:sz w:val="22"/>
                <w:szCs w:val="22"/>
                <w:lang w:val="en" w:eastAsia="en-US" w:bidi="ar-SA"/>
              </w:rPr>
              <w:t>Post Comments</w:t>
            </w:r>
          </w:p>
        </w:tc>
        <w:tc>
          <w:tcPr>
            <w:tcW w:w="639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GET post comments </w:t>
            </w:r>
          </w:p>
        </w:tc>
        <w:tc>
          <w:tcPr>
            <w:tcW w:w="34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color w:val="00000A"/>
                <w:sz w:val="22"/>
                <w:szCs w:val="22"/>
                <w:lang w:val="en" w:eastAsia="en-US" w:bidi="ar-SA"/>
              </w:rPr>
              <w:t>/</w:t>
            </w:r>
            <w:r>
              <w:rPr>
                <w:rFonts w:eastAsia="Arial" w:cs="Arial" w:ascii="Arial" w:hAnsi="Arial"/>
                <w:i/>
                <w:color w:val="00000A"/>
                <w:sz w:val="22"/>
                <w:szCs w:val="22"/>
                <w:lang w:val="en" w:eastAsia="en-US" w:bidi="ar-SA"/>
              </w:rPr>
              <w:t>api/post/{post}/comments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Activate 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Activate user by token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/user/activate?{token}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Role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Change user’s role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/api/user/role/</w:t>
            </w:r>
            <w:r>
              <w:rPr>
                <w:rFonts w:eastAsia="Arial" w:cs="Arial" w:ascii="Arial" w:hAnsi="Arial"/>
                <w:i/>
                <w:iCs/>
              </w:rPr>
              <w:t>{user}/{role}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 user details by id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/api//user/detail</w:t>
            </w:r>
            <w:r>
              <w:rPr>
                <w:rFonts w:eastAsia="Arial" w:cs="Arial" w:ascii="Arial" w:hAnsi="Arial"/>
                <w:i/>
                <w:iCs/>
              </w:rPr>
              <w:t>s/{user}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>
        <w:color w:val="000000"/>
      </w:rPr>
      <w:t xml:space="preserve">. </w:t>
      <w:tab/>
      <w:tab/>
    </w:r>
    <w:r>
      <w:rPr>
        <w:color w:val="00000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5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5f09"/>
    <w:rPr/>
  </w:style>
  <w:style w:type="character" w:styleId="ListLabel1" w:customStyle="1">
    <w:name w:val="ListLabel 1"/>
    <w:qFormat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/>
      <w:b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</TotalTime>
  <Application>LibreOffice/5.1.6.2$Linux_X86_64 LibreOffice_project/10m0$Build-2</Application>
  <Pages>5</Pages>
  <Words>690</Words>
  <Characters>3983</Characters>
  <CharactersWithSpaces>4524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2018-11-21T15:31:00Z</dcterms:created>
  <dc:creator>Joanna Antova</dc:creator>
  <dc:description/>
  <dc:language>en-US</dc:language>
  <cp:lastModifiedBy/>
  <dcterms:modified xsi:type="dcterms:W3CDTF">2019-02-08T16:32:30Z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