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br/>
      </w:r>
      <w:r>
        <w:rPr>
          <w:rStyle w:val="VerbatimChar"/>
        </w:rPr>
        <w:t xml:space="preserve">parameter Real a = 0.63;</w:t>
      </w:r>
      <w:r>
        <w:br/>
      </w:r>
      <w:r>
        <w:rPr>
          <w:rStyle w:val="VerbatimChar"/>
        </w:rPr>
        <w:t xml:space="preserve">parameter Real b = 0.019;</w:t>
      </w:r>
      <w:r>
        <w:br/>
      </w:r>
      <w:r>
        <w:rPr>
          <w:rStyle w:val="VerbatimChar"/>
        </w:rPr>
        <w:t xml:space="preserve">parameter Real c = 0.59;</w:t>
      </w:r>
      <w:r>
        <w:br/>
      </w:r>
      <w:r>
        <w:rPr>
          <w:rStyle w:val="VerbatimChar"/>
        </w:rPr>
        <w:t xml:space="preserve">parameter Real d = 0.018;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32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Андриевская Анастасия</dc:creator>
  <dc:language>ru-RU</dc:language>
  <cp:keywords/>
  <dcterms:created xsi:type="dcterms:W3CDTF">2024-03-03T07:30:51Z</dcterms:created>
  <dcterms:modified xsi:type="dcterms:W3CDTF">2024-03-03T07:30:51Z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