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30"/>
        </w:rPr>
        <w:t>Polynomial Regression for Geothermal Plant Optimization</w:t>
      </w:r>
    </w:p>
    <w:p>
      <w:pPr>
        <w:spacing w:before="0" w:after="80"/>
        <w:jc w:val="center"/>
      </w:pPr>
      <w:r>
        <w:rPr>
          <w:rFonts w:ascii="Times New Roman" w:hAnsi="Times New Roman"/>
          <w:sz w:val="20"/>
        </w:rPr>
        <w:t>Course: Machine Learning (CS F464)   |   Student: Aangir Doshi   |   Roll Number: BT2024078</w:t>
      </w:r>
    </w:p>
    <w:p>
      <w:pPr>
        <w:spacing w:before="0" w:after="120"/>
        <w:pBdr>
          <w:bottom w:val="single" w:sz="6" w:space="1" w:color="888888"/>
        </w:pBdr>
      </w:pPr>
    </w:p>
    <w:p>
      <w:pPr>
        <w:pStyle w:val="Heading1"/>
        <w:spacing w:before="140" w:after="60"/>
        <w:jc w:val="left"/>
      </w:pPr>
      <w:r>
        <w:rPr>
          <w:rFonts w:ascii="Times New Roman" w:hAnsi="Times New Roman"/>
          <w:b/>
          <w:color w:val="000000"/>
          <w:sz w:val="24"/>
        </w:rPr>
        <w:t>1. Introduction &amp; Problem Statement</w:t>
      </w:r>
    </w:p>
    <w:p>
      <w:pPr>
        <w:spacing w:before="20" w:after="80" w:line="276" w:lineRule="auto"/>
        <w:jc w:val="left"/>
      </w:pPr>
      <w:r>
        <w:rPr>
          <w:rFonts w:ascii="Times New Roman" w:hAnsi="Times New Roman"/>
          <w:b w:val="0"/>
          <w:i w:val="0"/>
          <w:sz w:val="21"/>
        </w:rPr>
        <w:t>In this assignment, I built polynomial regression models for two distinct engineering challenges in a geothermal power plant expansion project. The objective is to accurately predict continuous target variables y on hidden test datasets using only polynomial regression formulations. The datasets were individually generated for roll number BT2024078, meaning the functional relationships and optimal polynomial degrees are specific to my data.</w:t>
      </w:r>
    </w:p>
    <w:p>
      <w:pPr>
        <w:spacing w:before="20" w:after="80" w:line="276" w:lineRule="auto"/>
        <w:jc w:val="left"/>
      </w:pPr>
      <w:r>
        <w:rPr>
          <w:rFonts w:ascii="Times New Roman" w:hAnsi="Times New Roman"/>
          <w:b w:val="0"/>
          <w:i w:val="0"/>
          <w:sz w:val="21"/>
        </w:rPr>
        <w:t>Phase 1 (Var1) focuses on surface steam turbine optimization. It requires predicting the Net Power Score from six turbine calibration parameters (x1 through x6, representing valve adjustments, coolant flow, blade pitch, and pressures). Phase 2 (Var2) addresses subterranean thermal mapping, predicting a Thermal Anomaly Score from 3D sensor coordinates (x1: East-West, x2: North-South, x3: Depth) to locate optimal drilling sites for high-yield extraction wells.</w:t>
      </w:r>
    </w:p>
    <w:p>
      <w:pPr>
        <w:pStyle w:val="Heading1"/>
        <w:spacing w:before="140" w:after="60"/>
        <w:jc w:val="left"/>
      </w:pPr>
      <w:r>
        <w:rPr>
          <w:rFonts w:ascii="Times New Roman" w:hAnsi="Times New Roman"/>
          <w:b/>
          <w:color w:val="000000"/>
          <w:sz w:val="24"/>
        </w:rPr>
        <w:t>2. Exploratory Data Analysis &amp; Observations</w:t>
      </w:r>
    </w:p>
    <w:p>
      <w:pPr>
        <w:spacing w:before="20" w:after="80" w:line="276" w:lineRule="auto"/>
        <w:jc w:val="left"/>
      </w:pPr>
      <w:r>
        <w:rPr>
          <w:rFonts w:ascii="Times New Roman" w:hAnsi="Times New Roman"/>
          <w:b w:val="0"/>
          <w:i w:val="0"/>
          <w:sz w:val="21"/>
        </w:rPr>
        <w:t>Before fitting any models, I checked both datasets for anomalies, missing values, and scale issues. Two main observations stood out:</w:t>
      </w:r>
    </w:p>
    <w:p>
      <w:pPr>
        <w:spacing w:before="20" w:after="80" w:line="276" w:lineRule="auto"/>
        <w:jc w:val="left"/>
      </w:pPr>
      <w:r>
        <w:rPr>
          <w:rFonts w:ascii="Times New Roman" w:hAnsi="Times New Roman"/>
          <w:b w:val="0"/>
          <w:i w:val="0"/>
          <w:sz w:val="21"/>
        </w:rPr>
        <w:t>First, both datasets were completely clean with zero missing entries. Crucially, all input features were already pre-scaled to [-1, 1]. This bounded range is ideal for polynomial regression: computing high powers (e.g., x^5 or x^12) of numbers bounded in [-1, 1] naturally keeps monomial values within [-1, 1], preventing numerical overflow and severe feature magnitude imbalances without extra scaling.</w:t>
      </w:r>
    </w:p>
    <w:p>
      <w:pPr>
        <w:spacing w:before="20" w:after="80" w:line="276" w:lineRule="auto"/>
        <w:jc w:val="left"/>
      </w:pPr>
      <w:r>
        <w:rPr>
          <w:rFonts w:ascii="Times New Roman" w:hAnsi="Times New Roman"/>
          <w:b w:val="0"/>
          <w:i w:val="0"/>
          <w:sz w:val="21"/>
        </w:rPr>
        <w:t>Second, the target distributions differ between the two problems. Var1 has a narrow target range (-9.80 to +11.99, mean 0.76, std 3.21) with near-zero skewness (0.04), indicating a symmetric distribution. Var2 exhibits a much wider range (-29.82 to +39.30, mean 1.81, std 7.27) and a mild positive skew (0.65), reflecting localized thermal hot spots in the 3D survey volume. Because the skew is physical rather than an artifact, I kept the raw target values directly.</w:t>
      </w:r>
    </w:p>
    <w:tbl>
      <w:tblPr>
        <w:tblStyle w:val="TableGrid"/>
        <w:tblW w:type="auto" w:w="0"/>
        <w:jc w:val="center"/>
        <w:tblLook w:firstColumn="1" w:firstRow="1" w:lastColumn="0" w:lastRow="0" w:noHBand="0" w:noVBand="1" w:val="04A0"/>
        <w:tblCellMar>
          <w:top w:w="60" w:type="dxa"/>
          <w:bottom w:w="60" w:type="dxa"/>
          <w:left w:w="100" w:type="dxa"/>
          <w:right w:w="100" w:type="dxa"/>
        </w:tblCellMar>
      </w:tblPr>
      <w:tblGrid>
        <w:gridCol w:w="3173"/>
        <w:gridCol w:w="3173"/>
        <w:gridCol w:w="3173"/>
      </w:tblGrid>
      <w:tr>
        <w:tc>
          <w:tcPr>
            <w:tcW w:type="dxa" w:w="3173"/>
            <w:vAlign w:val="center"/>
          </w:tcPr>
          <w:p>
            <w:pPr>
              <w:spacing w:before="20" w:after="20"/>
              <w:jc w:val="center"/>
            </w:pPr>
            <w:r>
              <w:rPr>
                <w:rFonts w:ascii="Times New Roman" w:hAnsi="Times New Roman"/>
                <w:b/>
                <w:sz w:val="18"/>
              </w:rPr>
              <w:t>Dataset Property</w:t>
            </w:r>
          </w:p>
        </w:tc>
        <w:tc>
          <w:tcPr>
            <w:tcW w:type="dxa" w:w="3173"/>
            <w:vAlign w:val="center"/>
          </w:tcPr>
          <w:p>
            <w:pPr>
              <w:spacing w:before="20" w:after="20"/>
              <w:jc w:val="center"/>
            </w:pPr>
            <w:r>
              <w:rPr>
                <w:rFonts w:ascii="Times New Roman" w:hAnsi="Times New Roman"/>
                <w:b/>
                <w:sz w:val="18"/>
              </w:rPr>
              <w:t>Var1 (Steam Turbine)</w:t>
            </w:r>
          </w:p>
        </w:tc>
        <w:tc>
          <w:tcPr>
            <w:tcW w:type="dxa" w:w="3173"/>
            <w:vAlign w:val="center"/>
          </w:tcPr>
          <w:p>
            <w:pPr>
              <w:spacing w:before="20" w:after="20"/>
              <w:jc w:val="center"/>
            </w:pPr>
            <w:r>
              <w:rPr>
                <w:rFonts w:ascii="Times New Roman" w:hAnsi="Times New Roman"/>
                <w:b/>
                <w:sz w:val="18"/>
              </w:rPr>
              <w:t>Var2 (Thermal Reservoir)</w:t>
            </w:r>
          </w:p>
        </w:tc>
      </w:tr>
      <w:tr>
        <w:tc>
          <w:tcPr>
            <w:tcW w:type="dxa" w:w="3173"/>
            <w:vAlign w:val="center"/>
          </w:tcPr>
          <w:p>
            <w:pPr>
              <w:spacing w:before="20" w:after="20"/>
              <w:jc w:val="left"/>
            </w:pPr>
            <w:r>
              <w:rPr>
                <w:rFonts w:ascii="Times New Roman" w:hAnsi="Times New Roman"/>
                <w:sz w:val="18"/>
              </w:rPr>
              <w:t>Input Features</w:t>
            </w:r>
          </w:p>
        </w:tc>
        <w:tc>
          <w:tcPr>
            <w:tcW w:type="dxa" w:w="3173"/>
            <w:vAlign w:val="center"/>
          </w:tcPr>
          <w:p>
            <w:pPr>
              <w:spacing w:before="20" w:after="20"/>
              <w:jc w:val="center"/>
            </w:pPr>
            <w:r>
              <w:rPr>
                <w:rFonts w:ascii="Times New Roman" w:hAnsi="Times New Roman"/>
                <w:sz w:val="18"/>
              </w:rPr>
              <w:t>6  (x1 to x6)</w:t>
            </w:r>
          </w:p>
        </w:tc>
        <w:tc>
          <w:tcPr>
            <w:tcW w:type="dxa" w:w="3173"/>
            <w:vAlign w:val="center"/>
          </w:tcPr>
          <w:p>
            <w:pPr>
              <w:spacing w:before="20" w:after="20"/>
              <w:jc w:val="center"/>
            </w:pPr>
            <w:r>
              <w:rPr>
                <w:rFonts w:ascii="Times New Roman" w:hAnsi="Times New Roman"/>
                <w:sz w:val="18"/>
              </w:rPr>
              <w:t>3  (x1, x2, x3)</w:t>
            </w:r>
          </w:p>
        </w:tc>
      </w:tr>
      <w:tr>
        <w:tc>
          <w:tcPr>
            <w:tcW w:type="dxa" w:w="3173"/>
            <w:vAlign w:val="center"/>
          </w:tcPr>
          <w:p>
            <w:pPr>
              <w:spacing w:before="20" w:after="20"/>
              <w:jc w:val="left"/>
            </w:pPr>
            <w:r>
              <w:rPr>
                <w:rFonts w:ascii="Times New Roman" w:hAnsi="Times New Roman"/>
                <w:sz w:val="18"/>
              </w:rPr>
              <w:t>Training Samples</w:t>
            </w:r>
          </w:p>
        </w:tc>
        <w:tc>
          <w:tcPr>
            <w:tcW w:type="dxa" w:w="3173"/>
            <w:vAlign w:val="center"/>
          </w:tcPr>
          <w:p>
            <w:pPr>
              <w:spacing w:before="20" w:after="20"/>
              <w:jc w:val="center"/>
            </w:pPr>
            <w:r>
              <w:rPr>
                <w:rFonts w:ascii="Times New Roman" w:hAnsi="Times New Roman"/>
                <w:sz w:val="18"/>
              </w:rPr>
              <w:t>1000</w:t>
            </w:r>
          </w:p>
        </w:tc>
        <w:tc>
          <w:tcPr>
            <w:tcW w:type="dxa" w:w="3173"/>
            <w:vAlign w:val="center"/>
          </w:tcPr>
          <w:p>
            <w:pPr>
              <w:spacing w:before="20" w:after="20"/>
              <w:jc w:val="center"/>
            </w:pPr>
            <w:r>
              <w:rPr>
                <w:rFonts w:ascii="Times New Roman" w:hAnsi="Times New Roman"/>
                <w:sz w:val="18"/>
              </w:rPr>
              <w:t>1000</w:t>
            </w:r>
          </w:p>
        </w:tc>
      </w:tr>
      <w:tr>
        <w:tc>
          <w:tcPr>
            <w:tcW w:type="dxa" w:w="3173"/>
            <w:vAlign w:val="center"/>
          </w:tcPr>
          <w:p>
            <w:pPr>
              <w:spacing w:before="20" w:after="20"/>
              <w:jc w:val="left"/>
            </w:pPr>
            <w:r>
              <w:rPr>
                <w:rFonts w:ascii="Times New Roman" w:hAnsi="Times New Roman"/>
                <w:sz w:val="18"/>
              </w:rPr>
              <w:t>Test Samples (to predict)</w:t>
            </w:r>
          </w:p>
        </w:tc>
        <w:tc>
          <w:tcPr>
            <w:tcW w:type="dxa" w:w="3173"/>
            <w:vAlign w:val="center"/>
          </w:tcPr>
          <w:p>
            <w:pPr>
              <w:spacing w:before="20" w:after="20"/>
              <w:jc w:val="center"/>
            </w:pPr>
            <w:r>
              <w:rPr>
                <w:rFonts w:ascii="Times New Roman" w:hAnsi="Times New Roman"/>
                <w:sz w:val="18"/>
              </w:rPr>
              <w:t>1000</w:t>
            </w:r>
          </w:p>
        </w:tc>
        <w:tc>
          <w:tcPr>
            <w:tcW w:type="dxa" w:w="3173"/>
            <w:vAlign w:val="center"/>
          </w:tcPr>
          <w:p>
            <w:pPr>
              <w:spacing w:before="20" w:after="20"/>
              <w:jc w:val="center"/>
            </w:pPr>
            <w:r>
              <w:rPr>
                <w:rFonts w:ascii="Times New Roman" w:hAnsi="Times New Roman"/>
                <w:sz w:val="18"/>
              </w:rPr>
              <w:t>1000</w:t>
            </w:r>
          </w:p>
        </w:tc>
      </w:tr>
      <w:tr>
        <w:tc>
          <w:tcPr>
            <w:tcW w:type="dxa" w:w="3173"/>
            <w:vAlign w:val="center"/>
          </w:tcPr>
          <w:p>
            <w:pPr>
              <w:spacing w:before="20" w:after="20"/>
              <w:jc w:val="left"/>
            </w:pPr>
            <w:r>
              <w:rPr>
                <w:rFonts w:ascii="Times New Roman" w:hAnsi="Times New Roman"/>
                <w:sz w:val="18"/>
              </w:rPr>
              <w:t>Feature Bounding Domain</w:t>
            </w:r>
          </w:p>
        </w:tc>
        <w:tc>
          <w:tcPr>
            <w:tcW w:type="dxa" w:w="3173"/>
            <w:vAlign w:val="center"/>
          </w:tcPr>
          <w:p>
            <w:pPr>
              <w:spacing w:before="20" w:after="20"/>
              <w:jc w:val="center"/>
            </w:pPr>
            <w:r>
              <w:rPr>
                <w:rFonts w:ascii="Times New Roman" w:hAnsi="Times New Roman"/>
                <w:sz w:val="18"/>
              </w:rPr>
              <w:t>[-1.0, 1.0]</w:t>
            </w:r>
          </w:p>
        </w:tc>
        <w:tc>
          <w:tcPr>
            <w:tcW w:type="dxa" w:w="3173"/>
            <w:vAlign w:val="center"/>
          </w:tcPr>
          <w:p>
            <w:pPr>
              <w:spacing w:before="20" w:after="20"/>
              <w:jc w:val="center"/>
            </w:pPr>
            <w:r>
              <w:rPr>
                <w:rFonts w:ascii="Times New Roman" w:hAnsi="Times New Roman"/>
                <w:sz w:val="18"/>
              </w:rPr>
              <w:t>[-1.0, 1.0]</w:t>
            </w:r>
          </w:p>
        </w:tc>
      </w:tr>
      <w:tr>
        <w:tc>
          <w:tcPr>
            <w:tcW w:type="dxa" w:w="3173"/>
            <w:vAlign w:val="center"/>
          </w:tcPr>
          <w:p>
            <w:pPr>
              <w:spacing w:before="20" w:after="20"/>
              <w:jc w:val="left"/>
            </w:pPr>
            <w:r>
              <w:rPr>
                <w:rFonts w:ascii="Times New Roman" w:hAnsi="Times New Roman"/>
                <w:sz w:val="18"/>
              </w:rPr>
              <w:t>Target Min / Max</w:t>
            </w:r>
          </w:p>
        </w:tc>
        <w:tc>
          <w:tcPr>
            <w:tcW w:type="dxa" w:w="3173"/>
            <w:vAlign w:val="center"/>
          </w:tcPr>
          <w:p>
            <w:pPr>
              <w:spacing w:before="20" w:after="20"/>
              <w:jc w:val="center"/>
            </w:pPr>
            <w:r>
              <w:rPr>
                <w:rFonts w:ascii="Times New Roman" w:hAnsi="Times New Roman"/>
                <w:sz w:val="18"/>
              </w:rPr>
              <w:t>-9.80 / +11.99</w:t>
            </w:r>
          </w:p>
        </w:tc>
        <w:tc>
          <w:tcPr>
            <w:tcW w:type="dxa" w:w="3173"/>
            <w:vAlign w:val="center"/>
          </w:tcPr>
          <w:p>
            <w:pPr>
              <w:spacing w:before="20" w:after="20"/>
              <w:jc w:val="center"/>
            </w:pPr>
            <w:r>
              <w:rPr>
                <w:rFonts w:ascii="Times New Roman" w:hAnsi="Times New Roman"/>
                <w:sz w:val="18"/>
              </w:rPr>
              <w:t>-29.82 / +39.30</w:t>
            </w:r>
          </w:p>
        </w:tc>
      </w:tr>
      <w:tr>
        <w:tc>
          <w:tcPr>
            <w:tcW w:type="dxa" w:w="3173"/>
            <w:vAlign w:val="center"/>
          </w:tcPr>
          <w:p>
            <w:pPr>
              <w:spacing w:before="20" w:after="20"/>
              <w:jc w:val="left"/>
            </w:pPr>
            <w:r>
              <w:rPr>
                <w:rFonts w:ascii="Times New Roman" w:hAnsi="Times New Roman"/>
                <w:sz w:val="18"/>
              </w:rPr>
              <w:t>Target Mean / Std</w:t>
            </w:r>
          </w:p>
        </w:tc>
        <w:tc>
          <w:tcPr>
            <w:tcW w:type="dxa" w:w="3173"/>
            <w:vAlign w:val="center"/>
          </w:tcPr>
          <w:p>
            <w:pPr>
              <w:spacing w:before="20" w:after="20"/>
              <w:jc w:val="center"/>
            </w:pPr>
            <w:r>
              <w:rPr>
                <w:rFonts w:ascii="Times New Roman" w:hAnsi="Times New Roman"/>
                <w:sz w:val="18"/>
              </w:rPr>
              <w:t>0.76 / 3.21</w:t>
            </w:r>
          </w:p>
        </w:tc>
        <w:tc>
          <w:tcPr>
            <w:tcW w:type="dxa" w:w="3173"/>
            <w:vAlign w:val="center"/>
          </w:tcPr>
          <w:p>
            <w:pPr>
              <w:spacing w:before="20" w:after="20"/>
              <w:jc w:val="center"/>
            </w:pPr>
            <w:r>
              <w:rPr>
                <w:rFonts w:ascii="Times New Roman" w:hAnsi="Times New Roman"/>
                <w:sz w:val="18"/>
              </w:rPr>
              <w:t>1.81 / 7.27</w:t>
            </w:r>
          </w:p>
        </w:tc>
      </w:tr>
      <w:tr>
        <w:tc>
          <w:tcPr>
            <w:tcW w:type="dxa" w:w="3173"/>
            <w:vAlign w:val="center"/>
          </w:tcPr>
          <w:p>
            <w:pPr>
              <w:spacing w:before="20" w:after="20"/>
              <w:jc w:val="left"/>
            </w:pPr>
            <w:r>
              <w:rPr>
                <w:rFonts w:ascii="Times New Roman" w:hAnsi="Times New Roman"/>
                <w:sz w:val="18"/>
              </w:rPr>
              <w:t>Missing Values</w:t>
            </w:r>
          </w:p>
        </w:tc>
        <w:tc>
          <w:tcPr>
            <w:tcW w:type="dxa" w:w="3173"/>
            <w:vAlign w:val="center"/>
          </w:tcPr>
          <w:p>
            <w:pPr>
              <w:spacing w:before="20" w:after="20"/>
              <w:jc w:val="center"/>
            </w:pPr>
            <w:r>
              <w:rPr>
                <w:rFonts w:ascii="Times New Roman" w:hAnsi="Times New Roman"/>
                <w:sz w:val="18"/>
              </w:rPr>
              <w:t>0 (None)</w:t>
            </w:r>
          </w:p>
        </w:tc>
        <w:tc>
          <w:tcPr>
            <w:tcW w:type="dxa" w:w="3173"/>
            <w:vAlign w:val="center"/>
          </w:tcPr>
          <w:p>
            <w:pPr>
              <w:spacing w:before="20" w:after="20"/>
              <w:jc w:val="center"/>
            </w:pPr>
            <w:r>
              <w:rPr>
                <w:rFonts w:ascii="Times New Roman" w:hAnsi="Times New Roman"/>
                <w:sz w:val="18"/>
              </w:rPr>
              <w:t>0 (None)</w:t>
            </w:r>
          </w:p>
        </w:tc>
      </w:tr>
    </w:tbl>
    <w:p>
      <w:pPr>
        <w:spacing w:before="0" w:after="60"/>
      </w:pPr>
    </w:p>
    <w:p>
      <w:r>
        <w:br w:type="page"/>
      </w:r>
    </w:p>
    <w:p>
      <w:pPr>
        <w:pStyle w:val="Heading1"/>
        <w:spacing w:before="140" w:after="60"/>
        <w:jc w:val="left"/>
      </w:pPr>
      <w:r>
        <w:rPr>
          <w:rFonts w:ascii="Times New Roman" w:hAnsi="Times New Roman"/>
          <w:b/>
          <w:color w:val="000000"/>
          <w:sz w:val="24"/>
        </w:rPr>
        <w:t>3. Methodology &amp; Regularization Strategy</w:t>
      </w:r>
    </w:p>
    <w:p>
      <w:pPr>
        <w:pStyle w:val="Heading2"/>
        <w:spacing w:before="100" w:after="40"/>
        <w:jc w:val="left"/>
      </w:pPr>
      <w:r>
        <w:rPr>
          <w:rFonts w:ascii="Times New Roman" w:hAnsi="Times New Roman"/>
          <w:b/>
          <w:color w:val="1E1E1E"/>
          <w:sz w:val="22"/>
        </w:rPr>
        <w:t>3.1 Polynomial Basis Expansion</w:t>
      </w:r>
    </w:p>
    <w:p>
      <w:pPr>
        <w:spacing w:before="20" w:after="80" w:line="276" w:lineRule="auto"/>
        <w:jc w:val="left"/>
      </w:pPr>
      <w:r>
        <w:rPr>
          <w:rFonts w:ascii="Times New Roman" w:hAnsi="Times New Roman"/>
          <w:b w:val="0"/>
          <w:i w:val="0"/>
          <w:sz w:val="21"/>
        </w:rPr>
        <w:t>Polynomial regression maps input features x in R^D into a monomial space containing all interaction terms up to degree d. The total number of features (including bias) is (d + D)! / (d! D!). For Var1 (D = 6), feature count grows rapidly: degree 2 yields 27 features, degree 4 produces 209, degree 5 yields 461, and degree 6 reaches 923. For Var2 (D = 3), growth is much slower: degree 8 yields 165 features, degree 10 gives 286, and degree 12 gives 454. This difference in dimensionality strongly dictates model capacity and the degree we can safely explore.</w:t>
      </w:r>
    </w:p>
    <w:p>
      <w:pPr>
        <w:pStyle w:val="Heading2"/>
        <w:spacing w:before="100" w:after="40"/>
        <w:jc w:val="left"/>
      </w:pPr>
      <w:r>
        <w:rPr>
          <w:rFonts w:ascii="Times New Roman" w:hAnsi="Times New Roman"/>
          <w:b/>
          <w:color w:val="1E1E1E"/>
          <w:sz w:val="22"/>
        </w:rPr>
        <w:t>3.2 Regularization: Why Ridge over OLS and Lasso?</w:t>
      </w:r>
    </w:p>
    <w:p>
      <w:pPr>
        <w:spacing w:before="20" w:after="80" w:line="276" w:lineRule="auto"/>
        <w:jc w:val="left"/>
      </w:pPr>
      <w:r>
        <w:rPr>
          <w:rFonts w:ascii="Times New Roman" w:hAnsi="Times New Roman"/>
          <w:b w:val="0"/>
          <w:i w:val="0"/>
          <w:sz w:val="21"/>
        </w:rPr>
        <w:t>Fitting Ordinary Least Squares (OLS) directly on hundreds of polynomial terms causes severe instability. High-order monomials on continuous features are naturally collinear (e.g., x1^2 and x1^4), making the design matrix ill-conditioned. Inverting (X^T X) produces huge opposing weights that overfit training noise and explode on unseen test points.</w:t>
      </w:r>
    </w:p>
    <w:p>
      <w:pPr>
        <w:spacing w:before="20" w:after="80" w:line="276" w:lineRule="auto"/>
        <w:jc w:val="left"/>
      </w:pPr>
      <w:r>
        <w:rPr>
          <w:rFonts w:ascii="Times New Roman" w:hAnsi="Times New Roman"/>
          <w:b w:val="0"/>
          <w:i w:val="0"/>
          <w:sz w:val="21"/>
        </w:rPr>
        <w:t>To prevent this, regularization is essential. I chose Ridge regression (L2 penalty) over Lasso (L1). Lasso tends to select arbitrary individual terms from clusters of correlated polynomial features while zeroing out others, which can disrupt smooth curvature. Ridge shrinks correlated monomial coefficients proportionally via (X^T X + alpha * I)^(-1) X^T y. This stabilizes matrix inversion, controls model variance, and preserves smooth physical response curves.</w:t>
      </w:r>
    </w:p>
    <w:p>
      <w:pPr>
        <w:pStyle w:val="Heading2"/>
        <w:spacing w:before="100" w:after="40"/>
        <w:jc w:val="left"/>
      </w:pPr>
      <w:r>
        <w:rPr>
          <w:rFonts w:ascii="Times New Roman" w:hAnsi="Times New Roman"/>
          <w:b/>
          <w:color w:val="1E1E1E"/>
          <w:sz w:val="22"/>
        </w:rPr>
        <w:t>3.3 Two-Stage Hyperparameter Tuning</w:t>
      </w:r>
    </w:p>
    <w:p>
      <w:pPr>
        <w:spacing w:before="20" w:after="80" w:line="276" w:lineRule="auto"/>
        <w:jc w:val="left"/>
      </w:pPr>
      <w:r>
        <w:rPr>
          <w:rFonts w:ascii="Times New Roman" w:hAnsi="Times New Roman"/>
          <w:b w:val="0"/>
          <w:i w:val="0"/>
          <w:sz w:val="21"/>
        </w:rPr>
        <w:t>I tuned polynomial degree d and Ridge penalty alpha jointly using 5-fold cross-validation in two stages:</w:t>
      </w:r>
    </w:p>
    <w:p>
      <w:pPr>
        <w:spacing w:before="20" w:after="80" w:line="276" w:lineRule="auto"/>
        <w:jc w:val="left"/>
      </w:pPr>
      <w:r>
        <w:rPr>
          <w:rFonts w:ascii="Times New Roman" w:hAnsi="Times New Roman"/>
          <w:b w:val="0"/>
          <w:i w:val="0"/>
          <w:sz w:val="21"/>
        </w:rPr>
        <w:t>1. Coarse Grid Search: Swept candidate degrees (2 to 6 for Var1; 4 to 14 for Var2) across 13 logarithmically spaced alpha values (10^-5 to 10^5) using 5-fold CV to locate the optimal region.</w:t>
      </w:r>
    </w:p>
    <w:p>
      <w:pPr>
        <w:spacing w:before="20" w:after="80" w:line="276" w:lineRule="auto"/>
        <w:jc w:val="left"/>
      </w:pPr>
      <w:r>
        <w:rPr>
          <w:rFonts w:ascii="Times New Roman" w:hAnsi="Times New Roman"/>
          <w:b w:val="0"/>
          <w:i w:val="0"/>
          <w:sz w:val="21"/>
        </w:rPr>
        <w:t>2. Fine Sweep &amp; Verification: Conducted a fine sweep around the top candidate, confirmed with Scikit-Learn's RidgeCV routine, and selected the (degree, alpha) pair minimizing 5-fold CV MSE.</w:t>
      </w:r>
    </w:p>
    <w:p>
      <w:pPr>
        <w:spacing w:before="20" w:after="80" w:line="276" w:lineRule="auto"/>
        <w:jc w:val="left"/>
      </w:pPr>
      <w:r>
        <w:rPr>
          <w:rFonts w:ascii="Times New Roman" w:hAnsi="Times New Roman"/>
          <w:b w:val="0"/>
          <w:i w:val="0"/>
          <w:sz w:val="21"/>
        </w:rPr>
        <w:t>3. Final Retraining: Refitted the selected model on all 1000 training samples and predicted the 1000 test points.</w:t>
      </w:r>
    </w:p>
    <w:p>
      <w:r>
        <w:br w:type="page"/>
      </w:r>
    </w:p>
    <w:p>
      <w:pPr>
        <w:pStyle w:val="Heading1"/>
        <w:spacing w:before="140" w:after="60"/>
        <w:jc w:val="left"/>
      </w:pPr>
      <w:r>
        <w:rPr>
          <w:rFonts w:ascii="Times New Roman" w:hAnsi="Times New Roman"/>
          <w:b/>
          <w:color w:val="000000"/>
          <w:sz w:val="24"/>
        </w:rPr>
        <w:t>4. Degree Selection and Parameter Tuning</w:t>
      </w:r>
    </w:p>
    <w:p>
      <w:pPr>
        <w:pStyle w:val="Heading2"/>
        <w:spacing w:before="100" w:after="40"/>
        <w:jc w:val="left"/>
      </w:pPr>
      <w:r>
        <w:rPr>
          <w:rFonts w:ascii="Times New Roman" w:hAnsi="Times New Roman"/>
          <w:b/>
          <w:color w:val="1E1E1E"/>
          <w:sz w:val="22"/>
        </w:rPr>
        <w:t>4.1 Phase 1 (Var1) – Steam Turbine Optimization (6 Features)</w:t>
      </w:r>
    </w:p>
    <w:p>
      <w:pPr>
        <w:spacing w:before="20" w:after="80" w:line="276" w:lineRule="auto"/>
        <w:jc w:val="left"/>
      </w:pPr>
      <w:r>
        <w:rPr>
          <w:rFonts w:ascii="Times New Roman" w:hAnsi="Times New Roman"/>
          <w:b w:val="0"/>
          <w:i w:val="0"/>
          <w:sz w:val="21"/>
        </w:rPr>
        <w:t>For Var1, the search showed that the turbine response contains non-linear interactions beyond simple quadratic or cubic forms. Degree 2 underfits heavily (CV MSE = 3.21, R^2 = 0.69). Degree 3 and 4 reduce error to 0.91 and 0.69 MSE, respectively.</w:t>
      </w:r>
    </w:p>
    <w:p>
      <w:pPr>
        <w:spacing w:before="20" w:after="80" w:line="276" w:lineRule="auto"/>
        <w:jc w:val="left"/>
      </w:pPr>
      <w:r>
        <w:rPr>
          <w:rFonts w:ascii="Times New Roman" w:hAnsi="Times New Roman"/>
          <w:b w:val="0"/>
          <w:i w:val="0"/>
          <w:sz w:val="21"/>
        </w:rPr>
        <w:t>An important dynamic occurred between degree 4 and degree 5: with weak regularization (alpha &lt; 0.01), degree 5 overfits due to its 461 features (CV MSE &gt; 1.5). However, once alpha is tuned up to ~2.48, degree 5 achieves a CV MSE of 0.4925 (R^2 = 0.9516), beating degree 4 by nearly 29%. Pushing to degree 6 (923 features) degrades validation error back to 0.54, confirming degree 5 as optimal.</w:t>
      </w:r>
    </w:p>
    <w:tbl>
      <w:tblPr>
        <w:tblStyle w:val="TableGrid"/>
        <w:tblW w:type="auto" w:w="0"/>
        <w:jc w:val="center"/>
        <w:tblLook w:firstColumn="1" w:firstRow="1" w:lastColumn="0" w:lastRow="0" w:noHBand="0" w:noVBand="1" w:val="04A0"/>
        <w:tblCellMar>
          <w:top w:w="60" w:type="dxa"/>
          <w:bottom w:w="60" w:type="dxa"/>
          <w:left w:w="100" w:type="dxa"/>
          <w:right w:w="100" w:type="dxa"/>
        </w:tblCellMar>
      </w:tblPr>
      <w:tblGrid>
        <w:gridCol w:w="1904"/>
        <w:gridCol w:w="1904"/>
        <w:gridCol w:w="1904"/>
        <w:gridCol w:w="1904"/>
        <w:gridCol w:w="1904"/>
      </w:tblGrid>
      <w:tr>
        <w:tc>
          <w:tcPr>
            <w:tcW w:type="dxa" w:w="1904"/>
            <w:vAlign w:val="center"/>
          </w:tcPr>
          <w:p>
            <w:pPr>
              <w:spacing w:before="20" w:after="20"/>
              <w:jc w:val="center"/>
            </w:pPr>
            <w:r>
              <w:rPr>
                <w:rFonts w:ascii="Times New Roman" w:hAnsi="Times New Roman"/>
                <w:b/>
                <w:sz w:val="18"/>
              </w:rPr>
              <w:t>Polynomial Degree</w:t>
            </w:r>
          </w:p>
        </w:tc>
        <w:tc>
          <w:tcPr>
            <w:tcW w:type="dxa" w:w="1904"/>
            <w:vAlign w:val="center"/>
          </w:tcPr>
          <w:p>
            <w:pPr>
              <w:spacing w:before="20" w:after="20"/>
              <w:jc w:val="center"/>
            </w:pPr>
            <w:r>
              <w:rPr>
                <w:rFonts w:ascii="Times New Roman" w:hAnsi="Times New Roman"/>
                <w:b/>
                <w:sz w:val="18"/>
              </w:rPr>
              <w:t>Best Alpha</w:t>
            </w:r>
          </w:p>
        </w:tc>
        <w:tc>
          <w:tcPr>
            <w:tcW w:type="dxa" w:w="1904"/>
            <w:vAlign w:val="center"/>
          </w:tcPr>
          <w:p>
            <w:pPr>
              <w:spacing w:before="20" w:after="20"/>
              <w:jc w:val="center"/>
            </w:pPr>
            <w:r>
              <w:rPr>
                <w:rFonts w:ascii="Times New Roman" w:hAnsi="Times New Roman"/>
                <w:b/>
                <w:sz w:val="18"/>
              </w:rPr>
              <w:t>5-Fold CV MSE</w:t>
            </w:r>
          </w:p>
        </w:tc>
        <w:tc>
          <w:tcPr>
            <w:tcW w:type="dxa" w:w="1904"/>
            <w:vAlign w:val="center"/>
          </w:tcPr>
          <w:p>
            <w:pPr>
              <w:spacing w:before="20" w:after="20"/>
              <w:jc w:val="center"/>
            </w:pPr>
            <w:r>
              <w:rPr>
                <w:rFonts w:ascii="Times New Roman" w:hAnsi="Times New Roman"/>
                <w:b/>
                <w:sz w:val="18"/>
              </w:rPr>
              <w:t>5-Fold CV R²</w:t>
            </w:r>
          </w:p>
        </w:tc>
        <w:tc>
          <w:tcPr>
            <w:tcW w:type="dxa" w:w="1904"/>
            <w:vAlign w:val="center"/>
          </w:tcPr>
          <w:p>
            <w:pPr>
              <w:spacing w:before="20" w:after="20"/>
              <w:jc w:val="center"/>
            </w:pPr>
            <w:r>
              <w:rPr>
                <w:rFonts w:ascii="Times New Roman" w:hAnsi="Times New Roman"/>
                <w:b/>
                <w:sz w:val="18"/>
              </w:rPr>
              <w:t>Number of Features</w:t>
            </w:r>
          </w:p>
        </w:tc>
      </w:tr>
      <w:tr>
        <w:tc>
          <w:tcPr>
            <w:tcW w:type="dxa" w:w="1904"/>
            <w:vAlign w:val="center"/>
          </w:tcPr>
          <w:p>
            <w:pPr>
              <w:spacing w:before="20" w:after="20"/>
              <w:jc w:val="left"/>
            </w:pPr>
            <w:r>
              <w:rPr>
                <w:rFonts w:ascii="Times New Roman" w:hAnsi="Times New Roman"/>
                <w:sz w:val="18"/>
              </w:rPr>
              <w:t>Degree 2</w:t>
            </w:r>
          </w:p>
        </w:tc>
        <w:tc>
          <w:tcPr>
            <w:tcW w:type="dxa" w:w="1904"/>
            <w:vAlign w:val="center"/>
          </w:tcPr>
          <w:p>
            <w:pPr>
              <w:spacing w:before="20" w:after="20"/>
              <w:jc w:val="center"/>
            </w:pPr>
            <w:r>
              <w:rPr>
                <w:rFonts w:ascii="Times New Roman" w:hAnsi="Times New Roman"/>
                <w:sz w:val="18"/>
              </w:rPr>
              <w:t>1.000</w:t>
            </w:r>
          </w:p>
        </w:tc>
        <w:tc>
          <w:tcPr>
            <w:tcW w:type="dxa" w:w="1904"/>
            <w:vAlign w:val="center"/>
          </w:tcPr>
          <w:p>
            <w:pPr>
              <w:spacing w:before="20" w:after="20"/>
              <w:jc w:val="center"/>
            </w:pPr>
            <w:r>
              <w:rPr>
                <w:rFonts w:ascii="Times New Roman" w:hAnsi="Times New Roman"/>
                <w:sz w:val="18"/>
              </w:rPr>
              <w:t>3.214</w:t>
            </w:r>
          </w:p>
        </w:tc>
        <w:tc>
          <w:tcPr>
            <w:tcW w:type="dxa" w:w="1904"/>
            <w:vAlign w:val="center"/>
          </w:tcPr>
          <w:p>
            <w:pPr>
              <w:spacing w:before="20" w:after="20"/>
              <w:jc w:val="center"/>
            </w:pPr>
            <w:r>
              <w:rPr>
                <w:rFonts w:ascii="Times New Roman" w:hAnsi="Times New Roman"/>
                <w:sz w:val="18"/>
              </w:rPr>
              <w:t>0.686</w:t>
            </w:r>
          </w:p>
        </w:tc>
        <w:tc>
          <w:tcPr>
            <w:tcW w:type="dxa" w:w="1904"/>
            <w:vAlign w:val="center"/>
          </w:tcPr>
          <w:p>
            <w:pPr>
              <w:spacing w:before="20" w:after="20"/>
              <w:jc w:val="center"/>
            </w:pPr>
            <w:r>
              <w:rPr>
                <w:rFonts w:ascii="Times New Roman" w:hAnsi="Times New Roman"/>
                <w:sz w:val="18"/>
              </w:rPr>
              <w:t>27</w:t>
            </w:r>
          </w:p>
        </w:tc>
      </w:tr>
      <w:tr>
        <w:tc>
          <w:tcPr>
            <w:tcW w:type="dxa" w:w="1904"/>
            <w:vAlign w:val="center"/>
          </w:tcPr>
          <w:p>
            <w:pPr>
              <w:spacing w:before="20" w:after="20"/>
              <w:jc w:val="left"/>
            </w:pPr>
            <w:r>
              <w:rPr>
                <w:rFonts w:ascii="Times New Roman" w:hAnsi="Times New Roman"/>
                <w:sz w:val="18"/>
              </w:rPr>
              <w:t>Degree 3</w:t>
            </w:r>
          </w:p>
        </w:tc>
        <w:tc>
          <w:tcPr>
            <w:tcW w:type="dxa" w:w="1904"/>
            <w:vAlign w:val="center"/>
          </w:tcPr>
          <w:p>
            <w:pPr>
              <w:spacing w:before="20" w:after="20"/>
              <w:jc w:val="center"/>
            </w:pPr>
            <w:r>
              <w:rPr>
                <w:rFonts w:ascii="Times New Roman" w:hAnsi="Times New Roman"/>
                <w:sz w:val="18"/>
              </w:rPr>
              <w:t>1.000</w:t>
            </w:r>
          </w:p>
        </w:tc>
        <w:tc>
          <w:tcPr>
            <w:tcW w:type="dxa" w:w="1904"/>
            <w:vAlign w:val="center"/>
          </w:tcPr>
          <w:p>
            <w:pPr>
              <w:spacing w:before="20" w:after="20"/>
              <w:jc w:val="center"/>
            </w:pPr>
            <w:r>
              <w:rPr>
                <w:rFonts w:ascii="Times New Roman" w:hAnsi="Times New Roman"/>
                <w:sz w:val="18"/>
              </w:rPr>
              <w:t>0.912</w:t>
            </w:r>
          </w:p>
        </w:tc>
        <w:tc>
          <w:tcPr>
            <w:tcW w:type="dxa" w:w="1904"/>
            <w:vAlign w:val="center"/>
          </w:tcPr>
          <w:p>
            <w:pPr>
              <w:spacing w:before="20" w:after="20"/>
              <w:jc w:val="center"/>
            </w:pPr>
            <w:r>
              <w:rPr>
                <w:rFonts w:ascii="Times New Roman" w:hAnsi="Times New Roman"/>
                <w:sz w:val="18"/>
              </w:rPr>
              <w:t>0.910</w:t>
            </w:r>
          </w:p>
        </w:tc>
        <w:tc>
          <w:tcPr>
            <w:tcW w:type="dxa" w:w="1904"/>
            <w:vAlign w:val="center"/>
          </w:tcPr>
          <w:p>
            <w:pPr>
              <w:spacing w:before="20" w:after="20"/>
              <w:jc w:val="center"/>
            </w:pPr>
            <w:r>
              <w:rPr>
                <w:rFonts w:ascii="Times New Roman" w:hAnsi="Times New Roman"/>
                <w:sz w:val="18"/>
              </w:rPr>
              <w:t>83</w:t>
            </w:r>
          </w:p>
        </w:tc>
      </w:tr>
      <w:tr>
        <w:tc>
          <w:tcPr>
            <w:tcW w:type="dxa" w:w="1904"/>
            <w:vAlign w:val="center"/>
          </w:tcPr>
          <w:p>
            <w:pPr>
              <w:spacing w:before="20" w:after="20"/>
              <w:jc w:val="left"/>
            </w:pPr>
            <w:r>
              <w:rPr>
                <w:rFonts w:ascii="Times New Roman" w:hAnsi="Times New Roman"/>
                <w:sz w:val="18"/>
              </w:rPr>
              <w:t>Degree 4</w:t>
            </w:r>
          </w:p>
        </w:tc>
        <w:tc>
          <w:tcPr>
            <w:tcW w:type="dxa" w:w="1904"/>
            <w:vAlign w:val="center"/>
          </w:tcPr>
          <w:p>
            <w:pPr>
              <w:spacing w:before="20" w:after="20"/>
              <w:jc w:val="center"/>
            </w:pPr>
            <w:r>
              <w:rPr>
                <w:rFonts w:ascii="Times New Roman" w:hAnsi="Times New Roman"/>
                <w:sz w:val="18"/>
              </w:rPr>
              <w:t>3.162</w:t>
            </w:r>
          </w:p>
        </w:tc>
        <w:tc>
          <w:tcPr>
            <w:tcW w:type="dxa" w:w="1904"/>
            <w:vAlign w:val="center"/>
          </w:tcPr>
          <w:p>
            <w:pPr>
              <w:spacing w:before="20" w:after="20"/>
              <w:jc w:val="center"/>
            </w:pPr>
            <w:r>
              <w:rPr>
                <w:rFonts w:ascii="Times New Roman" w:hAnsi="Times New Roman"/>
                <w:sz w:val="18"/>
              </w:rPr>
              <w:t>0.691</w:t>
            </w:r>
          </w:p>
        </w:tc>
        <w:tc>
          <w:tcPr>
            <w:tcW w:type="dxa" w:w="1904"/>
            <w:vAlign w:val="center"/>
          </w:tcPr>
          <w:p>
            <w:pPr>
              <w:spacing w:before="20" w:after="20"/>
              <w:jc w:val="center"/>
            </w:pPr>
            <w:r>
              <w:rPr>
                <w:rFonts w:ascii="Times New Roman" w:hAnsi="Times New Roman"/>
                <w:sz w:val="18"/>
              </w:rPr>
              <w:t>0.932</w:t>
            </w:r>
          </w:p>
        </w:tc>
        <w:tc>
          <w:tcPr>
            <w:tcW w:type="dxa" w:w="1904"/>
            <w:vAlign w:val="center"/>
          </w:tcPr>
          <w:p>
            <w:pPr>
              <w:spacing w:before="20" w:after="20"/>
              <w:jc w:val="center"/>
            </w:pPr>
            <w:r>
              <w:rPr>
                <w:rFonts w:ascii="Times New Roman" w:hAnsi="Times New Roman"/>
                <w:sz w:val="18"/>
              </w:rPr>
              <w:t>209</w:t>
            </w:r>
          </w:p>
        </w:tc>
      </w:tr>
      <w:tr>
        <w:tc>
          <w:tcPr>
            <w:tcW w:type="dxa" w:w="1904"/>
            <w:vAlign w:val="center"/>
          </w:tcPr>
          <w:p>
            <w:pPr>
              <w:spacing w:before="20" w:after="20"/>
              <w:jc w:val="left"/>
            </w:pPr>
            <w:r>
              <w:rPr>
                <w:rFonts w:ascii="Times New Roman" w:hAnsi="Times New Roman"/>
                <w:sz w:val="18"/>
              </w:rPr>
              <w:t>Degree 5</w:t>
            </w:r>
          </w:p>
        </w:tc>
        <w:tc>
          <w:tcPr>
            <w:tcW w:type="dxa" w:w="1904"/>
            <w:vAlign w:val="center"/>
          </w:tcPr>
          <w:p>
            <w:pPr>
              <w:spacing w:before="20" w:after="20"/>
              <w:jc w:val="center"/>
            </w:pPr>
            <w:r>
              <w:rPr>
                <w:rFonts w:ascii="Times New Roman" w:hAnsi="Times New Roman"/>
                <w:sz w:val="18"/>
              </w:rPr>
              <w:t>2.477</w:t>
            </w:r>
          </w:p>
        </w:tc>
        <w:tc>
          <w:tcPr>
            <w:tcW w:type="dxa" w:w="1904"/>
            <w:vAlign w:val="center"/>
          </w:tcPr>
          <w:p>
            <w:pPr>
              <w:spacing w:before="20" w:after="20"/>
              <w:jc w:val="center"/>
            </w:pPr>
            <w:r>
              <w:rPr>
                <w:rFonts w:ascii="Times New Roman" w:hAnsi="Times New Roman"/>
                <w:sz w:val="18"/>
              </w:rPr>
              <w:t>0.4925</w:t>
            </w:r>
          </w:p>
        </w:tc>
        <w:tc>
          <w:tcPr>
            <w:tcW w:type="dxa" w:w="1904"/>
            <w:vAlign w:val="center"/>
          </w:tcPr>
          <w:p>
            <w:pPr>
              <w:spacing w:before="20" w:after="20"/>
              <w:jc w:val="center"/>
            </w:pPr>
            <w:r>
              <w:rPr>
                <w:rFonts w:ascii="Times New Roman" w:hAnsi="Times New Roman"/>
                <w:sz w:val="18"/>
              </w:rPr>
              <w:t>0.9516</w:t>
            </w:r>
          </w:p>
        </w:tc>
        <w:tc>
          <w:tcPr>
            <w:tcW w:type="dxa" w:w="1904"/>
            <w:vAlign w:val="center"/>
          </w:tcPr>
          <w:p>
            <w:pPr>
              <w:spacing w:before="20" w:after="20"/>
              <w:jc w:val="center"/>
            </w:pPr>
            <w:r>
              <w:rPr>
                <w:rFonts w:ascii="Times New Roman" w:hAnsi="Times New Roman"/>
                <w:sz w:val="18"/>
              </w:rPr>
              <w:t>461 (Optimal)</w:t>
            </w:r>
          </w:p>
        </w:tc>
      </w:tr>
      <w:tr>
        <w:tc>
          <w:tcPr>
            <w:tcW w:type="dxa" w:w="1904"/>
            <w:vAlign w:val="center"/>
          </w:tcPr>
          <w:p>
            <w:pPr>
              <w:spacing w:before="20" w:after="20"/>
              <w:jc w:val="left"/>
            </w:pPr>
            <w:r>
              <w:rPr>
                <w:rFonts w:ascii="Times New Roman" w:hAnsi="Times New Roman"/>
                <w:sz w:val="18"/>
              </w:rPr>
              <w:t>Degree 6</w:t>
            </w:r>
          </w:p>
        </w:tc>
        <w:tc>
          <w:tcPr>
            <w:tcW w:type="dxa" w:w="1904"/>
            <w:vAlign w:val="center"/>
          </w:tcPr>
          <w:p>
            <w:pPr>
              <w:spacing w:before="20" w:after="20"/>
              <w:jc w:val="center"/>
            </w:pPr>
            <w:r>
              <w:rPr>
                <w:rFonts w:ascii="Times New Roman" w:hAnsi="Times New Roman"/>
                <w:sz w:val="18"/>
              </w:rPr>
              <w:t>3.162</w:t>
            </w:r>
          </w:p>
        </w:tc>
        <w:tc>
          <w:tcPr>
            <w:tcW w:type="dxa" w:w="1904"/>
            <w:vAlign w:val="center"/>
          </w:tcPr>
          <w:p>
            <w:pPr>
              <w:spacing w:before="20" w:after="20"/>
              <w:jc w:val="center"/>
            </w:pPr>
            <w:r>
              <w:rPr>
                <w:rFonts w:ascii="Times New Roman" w:hAnsi="Times New Roman"/>
                <w:sz w:val="18"/>
              </w:rPr>
              <w:t>0.543</w:t>
            </w:r>
          </w:p>
        </w:tc>
        <w:tc>
          <w:tcPr>
            <w:tcW w:type="dxa" w:w="1904"/>
            <w:vAlign w:val="center"/>
          </w:tcPr>
          <w:p>
            <w:pPr>
              <w:spacing w:before="20" w:after="20"/>
              <w:jc w:val="center"/>
            </w:pPr>
            <w:r>
              <w:rPr>
                <w:rFonts w:ascii="Times New Roman" w:hAnsi="Times New Roman"/>
                <w:sz w:val="18"/>
              </w:rPr>
              <w:t>0.947</w:t>
            </w:r>
          </w:p>
        </w:tc>
        <w:tc>
          <w:tcPr>
            <w:tcW w:type="dxa" w:w="1904"/>
            <w:vAlign w:val="center"/>
          </w:tcPr>
          <w:p>
            <w:pPr>
              <w:spacing w:before="20" w:after="20"/>
              <w:jc w:val="center"/>
            </w:pPr>
            <w:r>
              <w:rPr>
                <w:rFonts w:ascii="Times New Roman" w:hAnsi="Times New Roman"/>
                <w:sz w:val="18"/>
              </w:rPr>
              <w:t>923</w:t>
            </w:r>
          </w:p>
        </w:tc>
      </w:tr>
    </w:tbl>
    <w:p>
      <w:pPr>
        <w:spacing w:before="0" w:after="60"/>
      </w:pPr>
    </w:p>
    <w:p>
      <w:pPr>
        <w:spacing w:before="20" w:after="80" w:line="276" w:lineRule="auto"/>
        <w:jc w:val="left"/>
      </w:pPr>
      <w:r>
        <w:rPr>
          <w:rFonts w:ascii="Times New Roman" w:hAnsi="Times New Roman"/>
          <w:b/>
          <w:i w:val="0"/>
          <w:sz w:val="21"/>
        </w:rPr>
        <w:t>Final Selection for Var1: Degree = 5, Alpha = 2.477076 (Confirmed by RidgeCV).</w:t>
      </w:r>
    </w:p>
    <w:p>
      <w:pPr>
        <w:spacing w:before="80" w:after="40"/>
        <w:jc w:val="center"/>
      </w:pPr>
      <w:r>
        <w:drawing>
          <wp:inline xmlns:a="http://schemas.openxmlformats.org/drawingml/2006/main" xmlns:pic="http://schemas.openxmlformats.org/drawingml/2006/picture">
            <wp:extent cx="4389120" cy="1691717"/>
            <wp:docPr id="1" name="Picture 1"/>
            <wp:cNvGraphicFramePr>
              <a:graphicFrameLocks noChangeAspect="1"/>
            </wp:cNvGraphicFramePr>
            <a:graphic>
              <a:graphicData uri="http://schemas.openxmlformats.org/drawingml/2006/picture">
                <pic:pic>
                  <pic:nvPicPr>
                    <pic:cNvPr id="0" name="fig1_degree_selection.png"/>
                    <pic:cNvPicPr/>
                  </pic:nvPicPr>
                  <pic:blipFill>
                    <a:blip r:embed="rId9"/>
                    <a:stretch>
                      <a:fillRect/>
                    </a:stretch>
                  </pic:blipFill>
                  <pic:spPr>
                    <a:xfrm>
                      <a:off x="0" y="0"/>
                      <a:ext cx="4389120" cy="1691717"/>
                    </a:xfrm>
                    <a:prstGeom prst="rect"/>
                  </pic:spPr>
                </pic:pic>
              </a:graphicData>
            </a:graphic>
          </wp:inline>
        </w:drawing>
      </w:r>
    </w:p>
    <w:p>
      <w:pPr>
        <w:spacing w:before="20" w:after="100"/>
        <w:jc w:val="center"/>
      </w:pPr>
      <w:r>
        <w:rPr>
          <w:rFonts w:ascii="Times New Roman" w:hAnsi="Times New Roman"/>
          <w:i/>
          <w:sz w:val="18"/>
        </w:rPr>
        <w:t>Figure 1: Cross-validation Mean Squared Error vs. polynomial degree for Var1 and Var2. Dashed lines mark the selected degrees.</w:t>
      </w:r>
    </w:p>
    <w:p>
      <w:r>
        <w:br w:type="page"/>
      </w:r>
    </w:p>
    <w:p>
      <w:pPr>
        <w:pStyle w:val="Heading2"/>
        <w:spacing w:before="100" w:after="40"/>
        <w:jc w:val="left"/>
      </w:pPr>
      <w:r>
        <w:rPr>
          <w:rFonts w:ascii="Times New Roman" w:hAnsi="Times New Roman"/>
          <w:b/>
          <w:color w:val="1E1E1E"/>
          <w:sz w:val="22"/>
        </w:rPr>
        <w:t>4.2 Phase 2 (Var2) – Subsurface Thermal Reservoir (3 Features)</w:t>
      </w:r>
    </w:p>
    <w:p>
      <w:pPr>
        <w:spacing w:before="20" w:after="80" w:line="276" w:lineRule="auto"/>
        <w:jc w:val="left"/>
      </w:pPr>
      <w:r>
        <w:rPr>
          <w:rFonts w:ascii="Times New Roman" w:hAnsi="Times New Roman"/>
          <w:b w:val="0"/>
          <w:i w:val="0"/>
          <w:sz w:val="21"/>
        </w:rPr>
        <w:t>Var2 behaves very differently because it has only 3 spatial coordinates. Even at degree 12, there are only 454 monomial features for 1000 data points, preserving a healthy samples-to-parameters ratio of over 2:1.</w:t>
      </w:r>
    </w:p>
    <w:p>
      <w:pPr>
        <w:spacing w:before="20" w:after="80" w:line="276" w:lineRule="auto"/>
        <w:jc w:val="left"/>
      </w:pPr>
      <w:r>
        <w:rPr>
          <w:rFonts w:ascii="Times New Roman" w:hAnsi="Times New Roman"/>
          <w:b w:val="0"/>
          <w:i w:val="0"/>
          <w:sz w:val="21"/>
        </w:rPr>
        <w:t>Because 3D thermal plumes have intricate geometry with steep gradients and multiple local peaks, lower degrees fail to resolve the spatial field. CV error dropped steadily from degree 4 down through degree 11, reaching its minimum at degree 12 (CV MSE = 0.2627, R^2 = 0.9949). At degrees 13 and 14, validation error begins rising slightly. The optimal alpha for Var2 is lower (0.231013), as the 3D basis contains less collinear overlap than the 6-feature turbine problem.</w:t>
      </w:r>
    </w:p>
    <w:tbl>
      <w:tblPr>
        <w:tblStyle w:val="TableGrid"/>
        <w:tblW w:type="auto" w:w="0"/>
        <w:jc w:val="center"/>
        <w:tblLook w:firstColumn="1" w:firstRow="1" w:lastColumn="0" w:lastRow="0" w:noHBand="0" w:noVBand="1" w:val="04A0"/>
        <w:tblCellMar>
          <w:top w:w="60" w:type="dxa"/>
          <w:bottom w:w="60" w:type="dxa"/>
          <w:left w:w="100" w:type="dxa"/>
          <w:right w:w="100" w:type="dxa"/>
        </w:tblCellMar>
      </w:tblPr>
      <w:tblGrid>
        <w:gridCol w:w="1904"/>
        <w:gridCol w:w="1904"/>
        <w:gridCol w:w="1904"/>
        <w:gridCol w:w="1904"/>
        <w:gridCol w:w="1904"/>
      </w:tblGrid>
      <w:tr>
        <w:tc>
          <w:tcPr>
            <w:tcW w:type="dxa" w:w="1904"/>
            <w:vAlign w:val="center"/>
          </w:tcPr>
          <w:p>
            <w:pPr>
              <w:spacing w:before="20" w:after="20"/>
              <w:jc w:val="center"/>
            </w:pPr>
            <w:r>
              <w:rPr>
                <w:rFonts w:ascii="Times New Roman" w:hAnsi="Times New Roman"/>
                <w:b/>
                <w:sz w:val="18"/>
              </w:rPr>
              <w:t>Polynomial Degree</w:t>
            </w:r>
          </w:p>
        </w:tc>
        <w:tc>
          <w:tcPr>
            <w:tcW w:type="dxa" w:w="1904"/>
            <w:vAlign w:val="center"/>
          </w:tcPr>
          <w:p>
            <w:pPr>
              <w:spacing w:before="20" w:after="20"/>
              <w:jc w:val="center"/>
            </w:pPr>
            <w:r>
              <w:rPr>
                <w:rFonts w:ascii="Times New Roman" w:hAnsi="Times New Roman"/>
                <w:b/>
                <w:sz w:val="18"/>
              </w:rPr>
              <w:t>Best Alpha</w:t>
            </w:r>
          </w:p>
        </w:tc>
        <w:tc>
          <w:tcPr>
            <w:tcW w:type="dxa" w:w="1904"/>
            <w:vAlign w:val="center"/>
          </w:tcPr>
          <w:p>
            <w:pPr>
              <w:spacing w:before="20" w:after="20"/>
              <w:jc w:val="center"/>
            </w:pPr>
            <w:r>
              <w:rPr>
                <w:rFonts w:ascii="Times New Roman" w:hAnsi="Times New Roman"/>
                <w:b/>
                <w:sz w:val="18"/>
              </w:rPr>
              <w:t>5-Fold CV MSE</w:t>
            </w:r>
          </w:p>
        </w:tc>
        <w:tc>
          <w:tcPr>
            <w:tcW w:type="dxa" w:w="1904"/>
            <w:vAlign w:val="center"/>
          </w:tcPr>
          <w:p>
            <w:pPr>
              <w:spacing w:before="20" w:after="20"/>
              <w:jc w:val="center"/>
            </w:pPr>
            <w:r>
              <w:rPr>
                <w:rFonts w:ascii="Times New Roman" w:hAnsi="Times New Roman"/>
                <w:b/>
                <w:sz w:val="18"/>
              </w:rPr>
              <w:t>5-Fold CV R²</w:t>
            </w:r>
          </w:p>
        </w:tc>
        <w:tc>
          <w:tcPr>
            <w:tcW w:type="dxa" w:w="1904"/>
            <w:vAlign w:val="center"/>
          </w:tcPr>
          <w:p>
            <w:pPr>
              <w:spacing w:before="20" w:after="20"/>
              <w:jc w:val="center"/>
            </w:pPr>
            <w:r>
              <w:rPr>
                <w:rFonts w:ascii="Times New Roman" w:hAnsi="Times New Roman"/>
                <w:b/>
                <w:sz w:val="18"/>
              </w:rPr>
              <w:t>Number of Features</w:t>
            </w:r>
          </w:p>
        </w:tc>
      </w:tr>
      <w:tr>
        <w:tc>
          <w:tcPr>
            <w:tcW w:type="dxa" w:w="1904"/>
            <w:vAlign w:val="center"/>
          </w:tcPr>
          <w:p>
            <w:pPr>
              <w:spacing w:before="20" w:after="20"/>
              <w:jc w:val="left"/>
            </w:pPr>
            <w:r>
              <w:rPr>
                <w:rFonts w:ascii="Times New Roman" w:hAnsi="Times New Roman"/>
                <w:sz w:val="18"/>
              </w:rPr>
              <w:t>Degree 6</w:t>
            </w:r>
          </w:p>
        </w:tc>
        <w:tc>
          <w:tcPr>
            <w:tcW w:type="dxa" w:w="1904"/>
            <w:vAlign w:val="center"/>
          </w:tcPr>
          <w:p>
            <w:pPr>
              <w:spacing w:before="20" w:after="20"/>
              <w:jc w:val="center"/>
            </w:pPr>
            <w:r>
              <w:rPr>
                <w:rFonts w:ascii="Times New Roman" w:hAnsi="Times New Roman"/>
                <w:sz w:val="18"/>
              </w:rPr>
              <w:t>0.010</w:t>
            </w:r>
          </w:p>
        </w:tc>
        <w:tc>
          <w:tcPr>
            <w:tcW w:type="dxa" w:w="1904"/>
            <w:vAlign w:val="center"/>
          </w:tcPr>
          <w:p>
            <w:pPr>
              <w:spacing w:before="20" w:after="20"/>
              <w:jc w:val="center"/>
            </w:pPr>
            <w:r>
              <w:rPr>
                <w:rFonts w:ascii="Times New Roman" w:hAnsi="Times New Roman"/>
                <w:sz w:val="18"/>
              </w:rPr>
              <w:t>0.412</w:t>
            </w:r>
          </w:p>
        </w:tc>
        <w:tc>
          <w:tcPr>
            <w:tcW w:type="dxa" w:w="1904"/>
            <w:vAlign w:val="center"/>
          </w:tcPr>
          <w:p>
            <w:pPr>
              <w:spacing w:before="20" w:after="20"/>
              <w:jc w:val="center"/>
            </w:pPr>
            <w:r>
              <w:rPr>
                <w:rFonts w:ascii="Times New Roman" w:hAnsi="Times New Roman"/>
                <w:sz w:val="18"/>
              </w:rPr>
              <w:t>0.9920</w:t>
            </w:r>
          </w:p>
        </w:tc>
        <w:tc>
          <w:tcPr>
            <w:tcW w:type="dxa" w:w="1904"/>
            <w:vAlign w:val="center"/>
          </w:tcPr>
          <w:p>
            <w:pPr>
              <w:spacing w:before="20" w:after="20"/>
              <w:jc w:val="center"/>
            </w:pPr>
            <w:r>
              <w:rPr>
                <w:rFonts w:ascii="Times New Roman" w:hAnsi="Times New Roman"/>
                <w:sz w:val="18"/>
              </w:rPr>
              <w:t>84</w:t>
            </w:r>
          </w:p>
        </w:tc>
      </w:tr>
      <w:tr>
        <w:tc>
          <w:tcPr>
            <w:tcW w:type="dxa" w:w="1904"/>
            <w:vAlign w:val="center"/>
          </w:tcPr>
          <w:p>
            <w:pPr>
              <w:spacing w:before="20" w:after="20"/>
              <w:jc w:val="left"/>
            </w:pPr>
            <w:r>
              <w:rPr>
                <w:rFonts w:ascii="Times New Roman" w:hAnsi="Times New Roman"/>
                <w:sz w:val="18"/>
              </w:rPr>
              <w:t>Degree 8</w:t>
            </w:r>
          </w:p>
        </w:tc>
        <w:tc>
          <w:tcPr>
            <w:tcW w:type="dxa" w:w="1904"/>
            <w:vAlign w:val="center"/>
          </w:tcPr>
          <w:p>
            <w:pPr>
              <w:spacing w:before="20" w:after="20"/>
              <w:jc w:val="center"/>
            </w:pPr>
            <w:r>
              <w:rPr>
                <w:rFonts w:ascii="Times New Roman" w:hAnsi="Times New Roman"/>
                <w:sz w:val="18"/>
              </w:rPr>
              <w:t>0.010</w:t>
            </w:r>
          </w:p>
        </w:tc>
        <w:tc>
          <w:tcPr>
            <w:tcW w:type="dxa" w:w="1904"/>
            <w:vAlign w:val="center"/>
          </w:tcPr>
          <w:p>
            <w:pPr>
              <w:spacing w:before="20" w:after="20"/>
              <w:jc w:val="center"/>
            </w:pPr>
            <w:r>
              <w:rPr>
                <w:rFonts w:ascii="Times New Roman" w:hAnsi="Times New Roman"/>
                <w:sz w:val="18"/>
              </w:rPr>
              <w:t>0.282</w:t>
            </w:r>
          </w:p>
        </w:tc>
        <w:tc>
          <w:tcPr>
            <w:tcW w:type="dxa" w:w="1904"/>
            <w:vAlign w:val="center"/>
          </w:tcPr>
          <w:p>
            <w:pPr>
              <w:spacing w:before="20" w:after="20"/>
              <w:jc w:val="center"/>
            </w:pPr>
            <w:r>
              <w:rPr>
                <w:rFonts w:ascii="Times New Roman" w:hAnsi="Times New Roman"/>
                <w:sz w:val="18"/>
              </w:rPr>
              <w:t>0.9945</w:t>
            </w:r>
          </w:p>
        </w:tc>
        <w:tc>
          <w:tcPr>
            <w:tcW w:type="dxa" w:w="1904"/>
            <w:vAlign w:val="center"/>
          </w:tcPr>
          <w:p>
            <w:pPr>
              <w:spacing w:before="20" w:after="20"/>
              <w:jc w:val="center"/>
            </w:pPr>
            <w:r>
              <w:rPr>
                <w:rFonts w:ascii="Times New Roman" w:hAnsi="Times New Roman"/>
                <w:sz w:val="18"/>
              </w:rPr>
              <w:t>165</w:t>
            </w:r>
          </w:p>
        </w:tc>
      </w:tr>
      <w:tr>
        <w:tc>
          <w:tcPr>
            <w:tcW w:type="dxa" w:w="1904"/>
            <w:vAlign w:val="center"/>
          </w:tcPr>
          <w:p>
            <w:pPr>
              <w:spacing w:before="20" w:after="20"/>
              <w:jc w:val="left"/>
            </w:pPr>
            <w:r>
              <w:rPr>
                <w:rFonts w:ascii="Times New Roman" w:hAnsi="Times New Roman"/>
                <w:sz w:val="18"/>
              </w:rPr>
              <w:t>Degree 10</w:t>
            </w:r>
          </w:p>
        </w:tc>
        <w:tc>
          <w:tcPr>
            <w:tcW w:type="dxa" w:w="1904"/>
            <w:vAlign w:val="center"/>
          </w:tcPr>
          <w:p>
            <w:pPr>
              <w:spacing w:before="20" w:after="20"/>
              <w:jc w:val="center"/>
            </w:pPr>
            <w:r>
              <w:rPr>
                <w:rFonts w:ascii="Times New Roman" w:hAnsi="Times New Roman"/>
                <w:sz w:val="18"/>
              </w:rPr>
              <w:t>0.100</w:t>
            </w:r>
          </w:p>
        </w:tc>
        <w:tc>
          <w:tcPr>
            <w:tcW w:type="dxa" w:w="1904"/>
            <w:vAlign w:val="center"/>
          </w:tcPr>
          <w:p>
            <w:pPr>
              <w:spacing w:before="20" w:after="20"/>
              <w:jc w:val="center"/>
            </w:pPr>
            <w:r>
              <w:rPr>
                <w:rFonts w:ascii="Times New Roman" w:hAnsi="Times New Roman"/>
                <w:sz w:val="18"/>
              </w:rPr>
              <w:t>0.271</w:t>
            </w:r>
          </w:p>
        </w:tc>
        <w:tc>
          <w:tcPr>
            <w:tcW w:type="dxa" w:w="1904"/>
            <w:vAlign w:val="center"/>
          </w:tcPr>
          <w:p>
            <w:pPr>
              <w:spacing w:before="20" w:after="20"/>
              <w:jc w:val="center"/>
            </w:pPr>
            <w:r>
              <w:rPr>
                <w:rFonts w:ascii="Times New Roman" w:hAnsi="Times New Roman"/>
                <w:sz w:val="18"/>
              </w:rPr>
              <w:t>0.9947</w:t>
            </w:r>
          </w:p>
        </w:tc>
        <w:tc>
          <w:tcPr>
            <w:tcW w:type="dxa" w:w="1904"/>
            <w:vAlign w:val="center"/>
          </w:tcPr>
          <w:p>
            <w:pPr>
              <w:spacing w:before="20" w:after="20"/>
              <w:jc w:val="center"/>
            </w:pPr>
            <w:r>
              <w:rPr>
                <w:rFonts w:ascii="Times New Roman" w:hAnsi="Times New Roman"/>
                <w:sz w:val="18"/>
              </w:rPr>
              <w:t>286</w:t>
            </w:r>
          </w:p>
        </w:tc>
      </w:tr>
      <w:tr>
        <w:tc>
          <w:tcPr>
            <w:tcW w:type="dxa" w:w="1904"/>
            <w:vAlign w:val="center"/>
          </w:tcPr>
          <w:p>
            <w:pPr>
              <w:spacing w:before="20" w:after="20"/>
              <w:jc w:val="left"/>
            </w:pPr>
            <w:r>
              <w:rPr>
                <w:rFonts w:ascii="Times New Roman" w:hAnsi="Times New Roman"/>
                <w:sz w:val="18"/>
              </w:rPr>
              <w:t>Degree 12</w:t>
            </w:r>
          </w:p>
        </w:tc>
        <w:tc>
          <w:tcPr>
            <w:tcW w:type="dxa" w:w="1904"/>
            <w:vAlign w:val="center"/>
          </w:tcPr>
          <w:p>
            <w:pPr>
              <w:spacing w:before="20" w:after="20"/>
              <w:jc w:val="center"/>
            </w:pPr>
            <w:r>
              <w:rPr>
                <w:rFonts w:ascii="Times New Roman" w:hAnsi="Times New Roman"/>
                <w:sz w:val="18"/>
              </w:rPr>
              <w:t>0.231</w:t>
            </w:r>
          </w:p>
        </w:tc>
        <w:tc>
          <w:tcPr>
            <w:tcW w:type="dxa" w:w="1904"/>
            <w:vAlign w:val="center"/>
          </w:tcPr>
          <w:p>
            <w:pPr>
              <w:spacing w:before="20" w:after="20"/>
              <w:jc w:val="center"/>
            </w:pPr>
            <w:r>
              <w:rPr>
                <w:rFonts w:ascii="Times New Roman" w:hAnsi="Times New Roman"/>
                <w:sz w:val="18"/>
              </w:rPr>
              <w:t>0.2627</w:t>
            </w:r>
          </w:p>
        </w:tc>
        <w:tc>
          <w:tcPr>
            <w:tcW w:type="dxa" w:w="1904"/>
            <w:vAlign w:val="center"/>
          </w:tcPr>
          <w:p>
            <w:pPr>
              <w:spacing w:before="20" w:after="20"/>
              <w:jc w:val="center"/>
            </w:pPr>
            <w:r>
              <w:rPr>
                <w:rFonts w:ascii="Times New Roman" w:hAnsi="Times New Roman"/>
                <w:sz w:val="18"/>
              </w:rPr>
              <w:t>0.9949</w:t>
            </w:r>
          </w:p>
        </w:tc>
        <w:tc>
          <w:tcPr>
            <w:tcW w:type="dxa" w:w="1904"/>
            <w:vAlign w:val="center"/>
          </w:tcPr>
          <w:p>
            <w:pPr>
              <w:spacing w:before="20" w:after="20"/>
              <w:jc w:val="center"/>
            </w:pPr>
            <w:r>
              <w:rPr>
                <w:rFonts w:ascii="Times New Roman" w:hAnsi="Times New Roman"/>
                <w:sz w:val="18"/>
              </w:rPr>
              <w:t>454 (Optimal)</w:t>
            </w:r>
          </w:p>
        </w:tc>
      </w:tr>
      <w:tr>
        <w:tc>
          <w:tcPr>
            <w:tcW w:type="dxa" w:w="1904"/>
            <w:vAlign w:val="center"/>
          </w:tcPr>
          <w:p>
            <w:pPr>
              <w:spacing w:before="20" w:after="20"/>
              <w:jc w:val="left"/>
            </w:pPr>
            <w:r>
              <w:rPr>
                <w:rFonts w:ascii="Times New Roman" w:hAnsi="Times New Roman"/>
                <w:sz w:val="18"/>
              </w:rPr>
              <w:t>Degree 14</w:t>
            </w:r>
          </w:p>
        </w:tc>
        <w:tc>
          <w:tcPr>
            <w:tcW w:type="dxa" w:w="1904"/>
            <w:vAlign w:val="center"/>
          </w:tcPr>
          <w:p>
            <w:pPr>
              <w:spacing w:before="20" w:after="20"/>
              <w:jc w:val="center"/>
            </w:pPr>
            <w:r>
              <w:rPr>
                <w:rFonts w:ascii="Times New Roman" w:hAnsi="Times New Roman"/>
                <w:sz w:val="18"/>
              </w:rPr>
              <w:t>0.316</w:t>
            </w:r>
          </w:p>
        </w:tc>
        <w:tc>
          <w:tcPr>
            <w:tcW w:type="dxa" w:w="1904"/>
            <w:vAlign w:val="center"/>
          </w:tcPr>
          <w:p>
            <w:pPr>
              <w:spacing w:before="20" w:after="20"/>
              <w:jc w:val="center"/>
            </w:pPr>
            <w:r>
              <w:rPr>
                <w:rFonts w:ascii="Times New Roman" w:hAnsi="Times New Roman"/>
                <w:sz w:val="18"/>
              </w:rPr>
              <w:t>0.272</w:t>
            </w:r>
          </w:p>
        </w:tc>
        <w:tc>
          <w:tcPr>
            <w:tcW w:type="dxa" w:w="1904"/>
            <w:vAlign w:val="center"/>
          </w:tcPr>
          <w:p>
            <w:pPr>
              <w:spacing w:before="20" w:after="20"/>
              <w:jc w:val="center"/>
            </w:pPr>
            <w:r>
              <w:rPr>
                <w:rFonts w:ascii="Times New Roman" w:hAnsi="Times New Roman"/>
                <w:sz w:val="18"/>
              </w:rPr>
              <w:t>0.9947</w:t>
            </w:r>
          </w:p>
        </w:tc>
        <w:tc>
          <w:tcPr>
            <w:tcW w:type="dxa" w:w="1904"/>
            <w:vAlign w:val="center"/>
          </w:tcPr>
          <w:p>
            <w:pPr>
              <w:spacing w:before="20" w:after="20"/>
              <w:jc w:val="center"/>
            </w:pPr>
            <w:r>
              <w:rPr>
                <w:rFonts w:ascii="Times New Roman" w:hAnsi="Times New Roman"/>
                <w:sz w:val="18"/>
              </w:rPr>
              <w:t>680</w:t>
            </w:r>
          </w:p>
        </w:tc>
      </w:tr>
    </w:tbl>
    <w:p>
      <w:pPr>
        <w:spacing w:before="0" w:after="60"/>
      </w:pPr>
    </w:p>
    <w:p>
      <w:pPr>
        <w:spacing w:before="20" w:after="80" w:line="276" w:lineRule="auto"/>
        <w:jc w:val="left"/>
      </w:pPr>
      <w:r>
        <w:rPr>
          <w:rFonts w:ascii="Times New Roman" w:hAnsi="Times New Roman"/>
          <w:b/>
          <w:i w:val="0"/>
          <w:sz w:val="21"/>
        </w:rPr>
        <w:t>Final Selection for Var2: Degree = 12, Alpha = 0.231013 (Confirmed by RidgeCV).</w:t>
      </w:r>
    </w:p>
    <w:p>
      <w:pPr>
        <w:spacing w:before="80" w:after="40"/>
        <w:jc w:val="center"/>
      </w:pPr>
      <w:r>
        <w:drawing>
          <wp:inline xmlns:a="http://schemas.openxmlformats.org/drawingml/2006/main" xmlns:pic="http://schemas.openxmlformats.org/drawingml/2006/picture">
            <wp:extent cx="4389120" cy="1689258"/>
            <wp:docPr id="2" name="Picture 2"/>
            <wp:cNvGraphicFramePr>
              <a:graphicFrameLocks noChangeAspect="1"/>
            </wp:cNvGraphicFramePr>
            <a:graphic>
              <a:graphicData uri="http://schemas.openxmlformats.org/drawingml/2006/picture">
                <pic:pic>
                  <pic:nvPicPr>
                    <pic:cNvPr id="0" name="fig2_alpha_selection.png"/>
                    <pic:cNvPicPr/>
                  </pic:nvPicPr>
                  <pic:blipFill>
                    <a:blip r:embed="rId10"/>
                    <a:stretch>
                      <a:fillRect/>
                    </a:stretch>
                  </pic:blipFill>
                  <pic:spPr>
                    <a:xfrm>
                      <a:off x="0" y="0"/>
                      <a:ext cx="4389120" cy="1689258"/>
                    </a:xfrm>
                    <a:prstGeom prst="rect"/>
                  </pic:spPr>
                </pic:pic>
              </a:graphicData>
            </a:graphic>
          </wp:inline>
        </w:drawing>
      </w:r>
    </w:p>
    <w:p>
      <w:pPr>
        <w:spacing w:before="20" w:after="100"/>
        <w:jc w:val="center"/>
      </w:pPr>
      <w:r>
        <w:rPr>
          <w:rFonts w:ascii="Times New Roman" w:hAnsi="Times New Roman"/>
          <w:i/>
          <w:sz w:val="18"/>
        </w:rPr>
        <w:t>Figure 2: Validation MSE vs Ridge alpha at the chosen degrees. Dashed lines mark the optimal alpha.</w:t>
      </w:r>
    </w:p>
    <w:p>
      <w:r>
        <w:br w:type="page"/>
      </w:r>
    </w:p>
    <w:p>
      <w:pPr>
        <w:pStyle w:val="Heading1"/>
        <w:spacing w:before="140" w:after="60"/>
        <w:jc w:val="left"/>
      </w:pPr>
      <w:r>
        <w:rPr>
          <w:rFonts w:ascii="Times New Roman" w:hAnsi="Times New Roman"/>
          <w:b/>
          <w:color w:val="000000"/>
          <w:sz w:val="24"/>
        </w:rPr>
        <w:t>5. Model Evaluation &amp; Experimental Results</w:t>
      </w:r>
    </w:p>
    <w:p>
      <w:pPr>
        <w:pStyle w:val="Heading2"/>
        <w:spacing w:before="100" w:after="40"/>
        <w:jc w:val="left"/>
      </w:pPr>
      <w:r>
        <w:rPr>
          <w:rFonts w:ascii="Times New Roman" w:hAnsi="Times New Roman"/>
          <w:b/>
          <w:color w:val="1E1E1E"/>
          <w:sz w:val="22"/>
        </w:rPr>
        <w:t>5.1 Cross-Validation Summary</w:t>
      </w:r>
    </w:p>
    <w:p>
      <w:pPr>
        <w:spacing w:before="20" w:after="80" w:line="276" w:lineRule="auto"/>
        <w:jc w:val="left"/>
      </w:pPr>
      <w:r>
        <w:rPr>
          <w:rFonts w:ascii="Times New Roman" w:hAnsi="Times New Roman"/>
          <w:b w:val="0"/>
          <w:i w:val="0"/>
          <w:sz w:val="21"/>
        </w:rPr>
        <w:t>The final performance metrics under 5-fold cross-validation are summarized below:</w:t>
      </w:r>
    </w:p>
    <w:tbl>
      <w:tblPr>
        <w:tblStyle w:val="TableGrid"/>
        <w:tblW w:type="auto" w:w="0"/>
        <w:jc w:val="center"/>
        <w:tblLook w:firstColumn="1" w:firstRow="1" w:lastColumn="0" w:lastRow="0" w:noHBand="0" w:noVBand="1" w:val="04A0"/>
        <w:tblCellMar>
          <w:top w:w="60" w:type="dxa"/>
          <w:bottom w:w="60" w:type="dxa"/>
          <w:left w:w="100" w:type="dxa"/>
          <w:right w:w="100" w:type="dxa"/>
        </w:tblCellMar>
      </w:tblPr>
      <w:tblGrid>
        <w:gridCol w:w="1586"/>
        <w:gridCol w:w="1586"/>
        <w:gridCol w:w="1586"/>
        <w:gridCol w:w="1586"/>
        <w:gridCol w:w="1586"/>
        <w:gridCol w:w="1586"/>
      </w:tblGrid>
      <w:tr>
        <w:tc>
          <w:tcPr>
            <w:tcW w:type="dxa" w:w="1586"/>
            <w:vAlign w:val="center"/>
          </w:tcPr>
          <w:p>
            <w:pPr>
              <w:spacing w:before="20" w:after="20"/>
              <w:jc w:val="center"/>
            </w:pPr>
            <w:r>
              <w:rPr>
                <w:rFonts w:ascii="Times New Roman" w:hAnsi="Times New Roman"/>
                <w:b/>
                <w:sz w:val="18"/>
              </w:rPr>
              <w:t>Problem Statement</w:t>
            </w:r>
          </w:p>
        </w:tc>
        <w:tc>
          <w:tcPr>
            <w:tcW w:type="dxa" w:w="1586"/>
            <w:vAlign w:val="center"/>
          </w:tcPr>
          <w:p>
            <w:pPr>
              <w:spacing w:before="20" w:after="20"/>
              <w:jc w:val="center"/>
            </w:pPr>
            <w:r>
              <w:rPr>
                <w:rFonts w:ascii="Times New Roman" w:hAnsi="Times New Roman"/>
                <w:b/>
                <w:sz w:val="18"/>
              </w:rPr>
              <w:t>Optimal Degree</w:t>
            </w:r>
          </w:p>
        </w:tc>
        <w:tc>
          <w:tcPr>
            <w:tcW w:type="dxa" w:w="1586"/>
            <w:vAlign w:val="center"/>
          </w:tcPr>
          <w:p>
            <w:pPr>
              <w:spacing w:before="20" w:after="20"/>
              <w:jc w:val="center"/>
            </w:pPr>
            <w:r>
              <w:rPr>
                <w:rFonts w:ascii="Times New Roman" w:hAnsi="Times New Roman"/>
                <w:b/>
                <w:sz w:val="18"/>
              </w:rPr>
              <w:t>Selected Alpha</w:t>
            </w:r>
          </w:p>
        </w:tc>
        <w:tc>
          <w:tcPr>
            <w:tcW w:type="dxa" w:w="1586"/>
            <w:vAlign w:val="center"/>
          </w:tcPr>
          <w:p>
            <w:pPr>
              <w:spacing w:before="20" w:after="20"/>
              <w:jc w:val="center"/>
            </w:pPr>
            <w:r>
              <w:rPr>
                <w:rFonts w:ascii="Times New Roman" w:hAnsi="Times New Roman"/>
                <w:b/>
                <w:sz w:val="18"/>
              </w:rPr>
              <w:t>5-Fold CV MSE</w:t>
            </w:r>
          </w:p>
        </w:tc>
        <w:tc>
          <w:tcPr>
            <w:tcW w:type="dxa" w:w="1586"/>
            <w:vAlign w:val="center"/>
          </w:tcPr>
          <w:p>
            <w:pPr>
              <w:spacing w:before="20" w:after="20"/>
              <w:jc w:val="center"/>
            </w:pPr>
            <w:r>
              <w:rPr>
                <w:rFonts w:ascii="Times New Roman" w:hAnsi="Times New Roman"/>
                <w:b/>
                <w:sz w:val="18"/>
              </w:rPr>
              <w:t>5-Fold CV R²</w:t>
            </w:r>
          </w:p>
        </w:tc>
        <w:tc>
          <w:tcPr>
            <w:tcW w:type="dxa" w:w="1586"/>
            <w:vAlign w:val="center"/>
          </w:tcPr>
          <w:p>
            <w:pPr>
              <w:spacing w:before="20" w:after="20"/>
              <w:jc w:val="center"/>
            </w:pPr>
            <w:r>
              <w:rPr>
                <w:rFonts w:ascii="Times New Roman" w:hAnsi="Times New Roman"/>
                <w:b/>
                <w:sz w:val="18"/>
              </w:rPr>
              <w:t>Features</w:t>
            </w:r>
          </w:p>
        </w:tc>
      </w:tr>
      <w:tr>
        <w:tc>
          <w:tcPr>
            <w:tcW w:type="dxa" w:w="1586"/>
            <w:vAlign w:val="center"/>
          </w:tcPr>
          <w:p>
            <w:pPr>
              <w:spacing w:before="20" w:after="20"/>
              <w:jc w:val="left"/>
            </w:pPr>
            <w:r>
              <w:rPr>
                <w:rFonts w:ascii="Times New Roman" w:hAnsi="Times New Roman"/>
                <w:sz w:val="18"/>
              </w:rPr>
              <w:t>Phase 1 (Var1) – Steam Turbine</w:t>
            </w:r>
          </w:p>
        </w:tc>
        <w:tc>
          <w:tcPr>
            <w:tcW w:type="dxa" w:w="1586"/>
            <w:vAlign w:val="center"/>
          </w:tcPr>
          <w:p>
            <w:pPr>
              <w:spacing w:before="20" w:after="20"/>
              <w:jc w:val="center"/>
            </w:pPr>
            <w:r>
              <w:rPr>
                <w:rFonts w:ascii="Times New Roman" w:hAnsi="Times New Roman"/>
                <w:sz w:val="18"/>
              </w:rPr>
              <w:t>5</w:t>
            </w:r>
          </w:p>
        </w:tc>
        <w:tc>
          <w:tcPr>
            <w:tcW w:type="dxa" w:w="1586"/>
            <w:vAlign w:val="center"/>
          </w:tcPr>
          <w:p>
            <w:pPr>
              <w:spacing w:before="20" w:after="20"/>
              <w:jc w:val="center"/>
            </w:pPr>
            <w:r>
              <w:rPr>
                <w:rFonts w:ascii="Times New Roman" w:hAnsi="Times New Roman"/>
                <w:sz w:val="18"/>
              </w:rPr>
              <w:t>2.477076</w:t>
            </w:r>
          </w:p>
        </w:tc>
        <w:tc>
          <w:tcPr>
            <w:tcW w:type="dxa" w:w="1586"/>
            <w:vAlign w:val="center"/>
          </w:tcPr>
          <w:p>
            <w:pPr>
              <w:spacing w:before="20" w:after="20"/>
              <w:jc w:val="center"/>
            </w:pPr>
            <w:r>
              <w:rPr>
                <w:rFonts w:ascii="Times New Roman" w:hAnsi="Times New Roman"/>
                <w:sz w:val="18"/>
              </w:rPr>
              <w:t>0.4925</w:t>
            </w:r>
          </w:p>
        </w:tc>
        <w:tc>
          <w:tcPr>
            <w:tcW w:type="dxa" w:w="1586"/>
            <w:vAlign w:val="center"/>
          </w:tcPr>
          <w:p>
            <w:pPr>
              <w:spacing w:before="20" w:after="20"/>
              <w:jc w:val="center"/>
            </w:pPr>
            <w:r>
              <w:rPr>
                <w:rFonts w:ascii="Times New Roman" w:hAnsi="Times New Roman"/>
                <w:sz w:val="18"/>
              </w:rPr>
              <w:t>0.9516</w:t>
            </w:r>
          </w:p>
        </w:tc>
        <w:tc>
          <w:tcPr>
            <w:tcW w:type="dxa" w:w="1586"/>
            <w:vAlign w:val="center"/>
          </w:tcPr>
          <w:p>
            <w:pPr>
              <w:spacing w:before="20" w:after="20"/>
              <w:jc w:val="center"/>
            </w:pPr>
            <w:r>
              <w:rPr>
                <w:rFonts w:ascii="Times New Roman" w:hAnsi="Times New Roman"/>
                <w:sz w:val="18"/>
              </w:rPr>
              <w:t>461</w:t>
            </w:r>
          </w:p>
        </w:tc>
      </w:tr>
      <w:tr>
        <w:tc>
          <w:tcPr>
            <w:tcW w:type="dxa" w:w="1586"/>
            <w:vAlign w:val="center"/>
          </w:tcPr>
          <w:p>
            <w:pPr>
              <w:spacing w:before="20" w:after="20"/>
              <w:jc w:val="left"/>
            </w:pPr>
            <w:r>
              <w:rPr>
                <w:rFonts w:ascii="Times New Roman" w:hAnsi="Times New Roman"/>
                <w:sz w:val="18"/>
              </w:rPr>
              <w:t>Phase 2 (Var2) – Thermal Reservoir</w:t>
            </w:r>
          </w:p>
        </w:tc>
        <w:tc>
          <w:tcPr>
            <w:tcW w:type="dxa" w:w="1586"/>
            <w:vAlign w:val="center"/>
          </w:tcPr>
          <w:p>
            <w:pPr>
              <w:spacing w:before="20" w:after="20"/>
              <w:jc w:val="center"/>
            </w:pPr>
            <w:r>
              <w:rPr>
                <w:rFonts w:ascii="Times New Roman" w:hAnsi="Times New Roman"/>
                <w:sz w:val="18"/>
              </w:rPr>
              <w:t>12</w:t>
            </w:r>
          </w:p>
        </w:tc>
        <w:tc>
          <w:tcPr>
            <w:tcW w:type="dxa" w:w="1586"/>
            <w:vAlign w:val="center"/>
          </w:tcPr>
          <w:p>
            <w:pPr>
              <w:spacing w:before="20" w:after="20"/>
              <w:jc w:val="center"/>
            </w:pPr>
            <w:r>
              <w:rPr>
                <w:rFonts w:ascii="Times New Roman" w:hAnsi="Times New Roman"/>
                <w:sz w:val="18"/>
              </w:rPr>
              <w:t>0.231013</w:t>
            </w:r>
          </w:p>
        </w:tc>
        <w:tc>
          <w:tcPr>
            <w:tcW w:type="dxa" w:w="1586"/>
            <w:vAlign w:val="center"/>
          </w:tcPr>
          <w:p>
            <w:pPr>
              <w:spacing w:before="20" w:after="20"/>
              <w:jc w:val="center"/>
            </w:pPr>
            <w:r>
              <w:rPr>
                <w:rFonts w:ascii="Times New Roman" w:hAnsi="Times New Roman"/>
                <w:sz w:val="18"/>
              </w:rPr>
              <w:t>0.2627</w:t>
            </w:r>
          </w:p>
        </w:tc>
        <w:tc>
          <w:tcPr>
            <w:tcW w:type="dxa" w:w="1586"/>
            <w:vAlign w:val="center"/>
          </w:tcPr>
          <w:p>
            <w:pPr>
              <w:spacing w:before="20" w:after="20"/>
              <w:jc w:val="center"/>
            </w:pPr>
            <w:r>
              <w:rPr>
                <w:rFonts w:ascii="Times New Roman" w:hAnsi="Times New Roman"/>
                <w:sz w:val="18"/>
              </w:rPr>
              <w:t>0.9949</w:t>
            </w:r>
          </w:p>
        </w:tc>
        <w:tc>
          <w:tcPr>
            <w:tcW w:type="dxa" w:w="1586"/>
            <w:vAlign w:val="center"/>
          </w:tcPr>
          <w:p>
            <w:pPr>
              <w:spacing w:before="20" w:after="20"/>
              <w:jc w:val="center"/>
            </w:pPr>
            <w:r>
              <w:rPr>
                <w:rFonts w:ascii="Times New Roman" w:hAnsi="Times New Roman"/>
                <w:sz w:val="18"/>
              </w:rPr>
              <w:t>454</w:t>
            </w:r>
          </w:p>
        </w:tc>
      </w:tr>
    </w:tbl>
    <w:p>
      <w:pPr>
        <w:spacing w:before="0" w:after="60"/>
      </w:pPr>
    </w:p>
    <w:p>
      <w:pPr>
        <w:pStyle w:val="Heading2"/>
        <w:spacing w:before="100" w:after="40"/>
        <w:jc w:val="left"/>
      </w:pPr>
      <w:r>
        <w:rPr>
          <w:rFonts w:ascii="Times New Roman" w:hAnsi="Times New Roman"/>
          <w:b/>
          <w:color w:val="1E1E1E"/>
          <w:sz w:val="22"/>
        </w:rPr>
        <w:t>5.2 Fold-by-Fold Stability Analysis</w:t>
      </w:r>
    </w:p>
    <w:p>
      <w:pPr>
        <w:spacing w:before="20" w:after="80" w:line="276" w:lineRule="auto"/>
        <w:jc w:val="left"/>
      </w:pPr>
      <w:r>
        <w:rPr>
          <w:rFonts w:ascii="Times New Roman" w:hAnsi="Times New Roman"/>
          <w:b w:val="0"/>
          <w:i w:val="0"/>
          <w:sz w:val="21"/>
        </w:rPr>
        <w:t>To verify that results were consistent across data splits rather than lucky on a single fold, I examined per-fold performance. Both models show solid stability across all 5 folds:</w:t>
      </w:r>
    </w:p>
    <w:tbl>
      <w:tblPr>
        <w:tblStyle w:val="TableGrid"/>
        <w:tblW w:type="auto" w:w="0"/>
        <w:jc w:val="center"/>
        <w:tblLook w:firstColumn="1" w:firstRow="1" w:lastColumn="0" w:lastRow="0" w:noHBand="0" w:noVBand="1" w:val="04A0"/>
        <w:tblCellMar>
          <w:top w:w="60" w:type="dxa"/>
          <w:bottom w:w="60" w:type="dxa"/>
          <w:left w:w="100" w:type="dxa"/>
          <w:right w:w="100" w:type="dxa"/>
        </w:tblCellMar>
      </w:tblPr>
      <w:tblGrid>
        <w:gridCol w:w="1360"/>
        <w:gridCol w:w="1360"/>
        <w:gridCol w:w="1360"/>
        <w:gridCol w:w="1360"/>
        <w:gridCol w:w="1360"/>
        <w:gridCol w:w="1360"/>
        <w:gridCol w:w="1360"/>
      </w:tblGrid>
      <w:tr>
        <w:tc>
          <w:tcPr>
            <w:tcW w:type="dxa" w:w="1360"/>
            <w:vAlign w:val="center"/>
          </w:tcPr>
          <w:p>
            <w:pPr>
              <w:spacing w:before="20" w:after="20"/>
              <w:jc w:val="center"/>
            </w:pPr>
            <w:r>
              <w:rPr>
                <w:rFonts w:ascii="Times New Roman" w:hAnsi="Times New Roman"/>
                <w:b/>
                <w:sz w:val="18"/>
              </w:rPr>
              <w:t>CV Fold</w:t>
            </w:r>
          </w:p>
        </w:tc>
        <w:tc>
          <w:tcPr>
            <w:tcW w:type="dxa" w:w="1360"/>
            <w:vAlign w:val="center"/>
          </w:tcPr>
          <w:p>
            <w:pPr>
              <w:spacing w:before="20" w:after="20"/>
              <w:jc w:val="center"/>
            </w:pPr>
            <w:r>
              <w:rPr>
                <w:rFonts w:ascii="Times New Roman" w:hAnsi="Times New Roman"/>
                <w:b/>
                <w:sz w:val="18"/>
              </w:rPr>
              <w:t>Var1 Train MSE</w:t>
            </w:r>
          </w:p>
        </w:tc>
        <w:tc>
          <w:tcPr>
            <w:tcW w:type="dxa" w:w="1360"/>
            <w:vAlign w:val="center"/>
          </w:tcPr>
          <w:p>
            <w:pPr>
              <w:spacing w:before="20" w:after="20"/>
              <w:jc w:val="center"/>
            </w:pPr>
            <w:r>
              <w:rPr>
                <w:rFonts w:ascii="Times New Roman" w:hAnsi="Times New Roman"/>
                <w:b/>
                <w:sz w:val="18"/>
              </w:rPr>
              <w:t>Var1 Val MSE</w:t>
            </w:r>
          </w:p>
        </w:tc>
        <w:tc>
          <w:tcPr>
            <w:tcW w:type="dxa" w:w="1360"/>
            <w:vAlign w:val="center"/>
          </w:tcPr>
          <w:p>
            <w:pPr>
              <w:spacing w:before="20" w:after="20"/>
              <w:jc w:val="center"/>
            </w:pPr>
            <w:r>
              <w:rPr>
                <w:rFonts w:ascii="Times New Roman" w:hAnsi="Times New Roman"/>
                <w:b/>
                <w:sz w:val="18"/>
              </w:rPr>
              <w:t>Var1 Val R²</w:t>
            </w:r>
          </w:p>
        </w:tc>
        <w:tc>
          <w:tcPr>
            <w:tcW w:type="dxa" w:w="1360"/>
            <w:vAlign w:val="center"/>
          </w:tcPr>
          <w:p>
            <w:pPr>
              <w:spacing w:before="20" w:after="20"/>
              <w:jc w:val="center"/>
            </w:pPr>
            <w:r>
              <w:rPr>
                <w:rFonts w:ascii="Times New Roman" w:hAnsi="Times New Roman"/>
                <w:b/>
                <w:sz w:val="18"/>
              </w:rPr>
              <w:t>Var2 Train MSE</w:t>
            </w:r>
          </w:p>
        </w:tc>
        <w:tc>
          <w:tcPr>
            <w:tcW w:type="dxa" w:w="1360"/>
            <w:vAlign w:val="center"/>
          </w:tcPr>
          <w:p>
            <w:pPr>
              <w:spacing w:before="20" w:after="20"/>
              <w:jc w:val="center"/>
            </w:pPr>
            <w:r>
              <w:rPr>
                <w:rFonts w:ascii="Times New Roman" w:hAnsi="Times New Roman"/>
                <w:b/>
                <w:sz w:val="18"/>
              </w:rPr>
              <w:t>Var2 Val MSE</w:t>
            </w:r>
          </w:p>
        </w:tc>
        <w:tc>
          <w:tcPr>
            <w:tcW w:type="dxa" w:w="1360"/>
            <w:vAlign w:val="center"/>
          </w:tcPr>
          <w:p>
            <w:pPr>
              <w:spacing w:before="20" w:after="20"/>
              <w:jc w:val="center"/>
            </w:pPr>
            <w:r>
              <w:rPr>
                <w:rFonts w:ascii="Times New Roman" w:hAnsi="Times New Roman"/>
                <w:b/>
                <w:sz w:val="18"/>
              </w:rPr>
              <w:t>Var2 Val R²</w:t>
            </w:r>
          </w:p>
        </w:tc>
      </w:tr>
      <w:tr>
        <w:tc>
          <w:tcPr>
            <w:tcW w:type="dxa" w:w="1360"/>
            <w:vAlign w:val="center"/>
          </w:tcPr>
          <w:p>
            <w:pPr>
              <w:spacing w:before="20" w:after="20"/>
              <w:jc w:val="left"/>
            </w:pPr>
            <w:r>
              <w:rPr>
                <w:rFonts w:ascii="Times New Roman" w:hAnsi="Times New Roman"/>
                <w:sz w:val="18"/>
              </w:rPr>
              <w:t>Fold 1</w:t>
            </w:r>
          </w:p>
        </w:tc>
        <w:tc>
          <w:tcPr>
            <w:tcW w:type="dxa" w:w="1360"/>
            <w:vAlign w:val="center"/>
          </w:tcPr>
          <w:p>
            <w:pPr>
              <w:spacing w:before="20" w:after="20"/>
              <w:jc w:val="center"/>
            </w:pPr>
            <w:r>
              <w:rPr>
                <w:rFonts w:ascii="Times New Roman" w:hAnsi="Times New Roman"/>
                <w:sz w:val="18"/>
              </w:rPr>
              <w:t>0.1851</w:t>
            </w:r>
          </w:p>
        </w:tc>
        <w:tc>
          <w:tcPr>
            <w:tcW w:type="dxa" w:w="1360"/>
            <w:vAlign w:val="center"/>
          </w:tcPr>
          <w:p>
            <w:pPr>
              <w:spacing w:before="20" w:after="20"/>
              <w:jc w:val="center"/>
            </w:pPr>
            <w:r>
              <w:rPr>
                <w:rFonts w:ascii="Times New Roman" w:hAnsi="Times New Roman"/>
                <w:sz w:val="18"/>
              </w:rPr>
              <w:t>0.4523</w:t>
            </w:r>
          </w:p>
        </w:tc>
        <w:tc>
          <w:tcPr>
            <w:tcW w:type="dxa" w:w="1360"/>
            <w:vAlign w:val="center"/>
          </w:tcPr>
          <w:p>
            <w:pPr>
              <w:spacing w:before="20" w:after="20"/>
              <w:jc w:val="center"/>
            </w:pPr>
            <w:r>
              <w:rPr>
                <w:rFonts w:ascii="Times New Roman" w:hAnsi="Times New Roman"/>
                <w:sz w:val="18"/>
              </w:rPr>
              <w:t>0.9533</w:t>
            </w:r>
          </w:p>
        </w:tc>
        <w:tc>
          <w:tcPr>
            <w:tcW w:type="dxa" w:w="1360"/>
            <w:vAlign w:val="center"/>
          </w:tcPr>
          <w:p>
            <w:pPr>
              <w:spacing w:before="20" w:after="20"/>
              <w:jc w:val="center"/>
            </w:pPr>
            <w:r>
              <w:rPr>
                <w:rFonts w:ascii="Times New Roman" w:hAnsi="Times New Roman"/>
                <w:sz w:val="18"/>
              </w:rPr>
              <w:t>0.1702</w:t>
            </w:r>
          </w:p>
        </w:tc>
        <w:tc>
          <w:tcPr>
            <w:tcW w:type="dxa" w:w="1360"/>
            <w:vAlign w:val="center"/>
          </w:tcPr>
          <w:p>
            <w:pPr>
              <w:spacing w:before="20" w:after="20"/>
              <w:jc w:val="center"/>
            </w:pPr>
            <w:r>
              <w:rPr>
                <w:rFonts w:ascii="Times New Roman" w:hAnsi="Times New Roman"/>
                <w:sz w:val="18"/>
              </w:rPr>
              <w:t>0.2493</w:t>
            </w:r>
          </w:p>
        </w:tc>
        <w:tc>
          <w:tcPr>
            <w:tcW w:type="dxa" w:w="1360"/>
            <w:vAlign w:val="center"/>
          </w:tcPr>
          <w:p>
            <w:pPr>
              <w:spacing w:before="20" w:after="20"/>
              <w:jc w:val="center"/>
            </w:pPr>
            <w:r>
              <w:rPr>
                <w:rFonts w:ascii="Times New Roman" w:hAnsi="Times New Roman"/>
                <w:sz w:val="18"/>
              </w:rPr>
              <w:t>0.9940</w:t>
            </w:r>
          </w:p>
        </w:tc>
      </w:tr>
      <w:tr>
        <w:tc>
          <w:tcPr>
            <w:tcW w:type="dxa" w:w="1360"/>
            <w:vAlign w:val="center"/>
          </w:tcPr>
          <w:p>
            <w:pPr>
              <w:spacing w:before="20" w:after="20"/>
              <w:jc w:val="left"/>
            </w:pPr>
            <w:r>
              <w:rPr>
                <w:rFonts w:ascii="Times New Roman" w:hAnsi="Times New Roman"/>
                <w:sz w:val="18"/>
              </w:rPr>
              <w:t>Fold 2</w:t>
            </w:r>
          </w:p>
        </w:tc>
        <w:tc>
          <w:tcPr>
            <w:tcW w:type="dxa" w:w="1360"/>
            <w:vAlign w:val="center"/>
          </w:tcPr>
          <w:p>
            <w:pPr>
              <w:spacing w:before="20" w:after="20"/>
              <w:jc w:val="center"/>
            </w:pPr>
            <w:r>
              <w:rPr>
                <w:rFonts w:ascii="Times New Roman" w:hAnsi="Times New Roman"/>
                <w:sz w:val="18"/>
              </w:rPr>
              <w:t>0.1874</w:t>
            </w:r>
          </w:p>
        </w:tc>
        <w:tc>
          <w:tcPr>
            <w:tcW w:type="dxa" w:w="1360"/>
            <w:vAlign w:val="center"/>
          </w:tcPr>
          <w:p>
            <w:pPr>
              <w:spacing w:before="20" w:after="20"/>
              <w:jc w:val="center"/>
            </w:pPr>
            <w:r>
              <w:rPr>
                <w:rFonts w:ascii="Times New Roman" w:hAnsi="Times New Roman"/>
                <w:sz w:val="18"/>
              </w:rPr>
              <w:t>0.4332</w:t>
            </w:r>
          </w:p>
        </w:tc>
        <w:tc>
          <w:tcPr>
            <w:tcW w:type="dxa" w:w="1360"/>
            <w:vAlign w:val="center"/>
          </w:tcPr>
          <w:p>
            <w:pPr>
              <w:spacing w:before="20" w:after="20"/>
              <w:jc w:val="center"/>
            </w:pPr>
            <w:r>
              <w:rPr>
                <w:rFonts w:ascii="Times New Roman" w:hAnsi="Times New Roman"/>
                <w:sz w:val="18"/>
              </w:rPr>
              <w:t>0.9497</w:t>
            </w:r>
          </w:p>
        </w:tc>
        <w:tc>
          <w:tcPr>
            <w:tcW w:type="dxa" w:w="1360"/>
            <w:vAlign w:val="center"/>
          </w:tcPr>
          <w:p>
            <w:pPr>
              <w:spacing w:before="20" w:after="20"/>
              <w:jc w:val="center"/>
            </w:pPr>
            <w:r>
              <w:rPr>
                <w:rFonts w:ascii="Times New Roman" w:hAnsi="Times New Roman"/>
                <w:sz w:val="18"/>
              </w:rPr>
              <w:t>0.1654</w:t>
            </w:r>
          </w:p>
        </w:tc>
        <w:tc>
          <w:tcPr>
            <w:tcW w:type="dxa" w:w="1360"/>
            <w:vAlign w:val="center"/>
          </w:tcPr>
          <w:p>
            <w:pPr>
              <w:spacing w:before="20" w:after="20"/>
              <w:jc w:val="center"/>
            </w:pPr>
            <w:r>
              <w:rPr>
                <w:rFonts w:ascii="Times New Roman" w:hAnsi="Times New Roman"/>
                <w:sz w:val="18"/>
              </w:rPr>
              <w:t>0.2906</w:t>
            </w:r>
          </w:p>
        </w:tc>
        <w:tc>
          <w:tcPr>
            <w:tcW w:type="dxa" w:w="1360"/>
            <w:vAlign w:val="center"/>
          </w:tcPr>
          <w:p>
            <w:pPr>
              <w:spacing w:before="20" w:after="20"/>
              <w:jc w:val="center"/>
            </w:pPr>
            <w:r>
              <w:rPr>
                <w:rFonts w:ascii="Times New Roman" w:hAnsi="Times New Roman"/>
                <w:sz w:val="18"/>
              </w:rPr>
              <w:t>0.9946</w:t>
            </w:r>
          </w:p>
        </w:tc>
      </w:tr>
      <w:tr>
        <w:tc>
          <w:tcPr>
            <w:tcW w:type="dxa" w:w="1360"/>
            <w:vAlign w:val="center"/>
          </w:tcPr>
          <w:p>
            <w:pPr>
              <w:spacing w:before="20" w:after="20"/>
              <w:jc w:val="left"/>
            </w:pPr>
            <w:r>
              <w:rPr>
                <w:rFonts w:ascii="Times New Roman" w:hAnsi="Times New Roman"/>
                <w:sz w:val="18"/>
              </w:rPr>
              <w:t>Fold 3</w:t>
            </w:r>
          </w:p>
        </w:tc>
        <w:tc>
          <w:tcPr>
            <w:tcW w:type="dxa" w:w="1360"/>
            <w:vAlign w:val="center"/>
          </w:tcPr>
          <w:p>
            <w:pPr>
              <w:spacing w:before="20" w:after="20"/>
              <w:jc w:val="center"/>
            </w:pPr>
            <w:r>
              <w:rPr>
                <w:rFonts w:ascii="Times New Roman" w:hAnsi="Times New Roman"/>
                <w:sz w:val="18"/>
              </w:rPr>
              <w:t>0.1960</w:t>
            </w:r>
          </w:p>
        </w:tc>
        <w:tc>
          <w:tcPr>
            <w:tcW w:type="dxa" w:w="1360"/>
            <w:vAlign w:val="center"/>
          </w:tcPr>
          <w:p>
            <w:pPr>
              <w:spacing w:before="20" w:after="20"/>
              <w:jc w:val="center"/>
            </w:pPr>
            <w:r>
              <w:rPr>
                <w:rFonts w:ascii="Times New Roman" w:hAnsi="Times New Roman"/>
                <w:sz w:val="18"/>
              </w:rPr>
              <w:t>0.4472</w:t>
            </w:r>
          </w:p>
        </w:tc>
        <w:tc>
          <w:tcPr>
            <w:tcW w:type="dxa" w:w="1360"/>
            <w:vAlign w:val="center"/>
          </w:tcPr>
          <w:p>
            <w:pPr>
              <w:spacing w:before="20" w:after="20"/>
              <w:jc w:val="center"/>
            </w:pPr>
            <w:r>
              <w:rPr>
                <w:rFonts w:ascii="Times New Roman" w:hAnsi="Times New Roman"/>
                <w:sz w:val="18"/>
              </w:rPr>
              <w:t>0.9647</w:t>
            </w:r>
          </w:p>
        </w:tc>
        <w:tc>
          <w:tcPr>
            <w:tcW w:type="dxa" w:w="1360"/>
            <w:vAlign w:val="center"/>
          </w:tcPr>
          <w:p>
            <w:pPr>
              <w:spacing w:before="20" w:after="20"/>
              <w:jc w:val="center"/>
            </w:pPr>
            <w:r>
              <w:rPr>
                <w:rFonts w:ascii="Times New Roman" w:hAnsi="Times New Roman"/>
                <w:sz w:val="18"/>
              </w:rPr>
              <w:t>0.1691</w:t>
            </w:r>
          </w:p>
        </w:tc>
        <w:tc>
          <w:tcPr>
            <w:tcW w:type="dxa" w:w="1360"/>
            <w:vAlign w:val="center"/>
          </w:tcPr>
          <w:p>
            <w:pPr>
              <w:spacing w:before="20" w:after="20"/>
              <w:jc w:val="center"/>
            </w:pPr>
            <w:r>
              <w:rPr>
                <w:rFonts w:ascii="Times New Roman" w:hAnsi="Times New Roman"/>
                <w:sz w:val="18"/>
              </w:rPr>
              <w:t>0.2685</w:t>
            </w:r>
          </w:p>
        </w:tc>
        <w:tc>
          <w:tcPr>
            <w:tcW w:type="dxa" w:w="1360"/>
            <w:vAlign w:val="center"/>
          </w:tcPr>
          <w:p>
            <w:pPr>
              <w:spacing w:before="20" w:after="20"/>
              <w:jc w:val="center"/>
            </w:pPr>
            <w:r>
              <w:rPr>
                <w:rFonts w:ascii="Times New Roman" w:hAnsi="Times New Roman"/>
                <w:sz w:val="18"/>
              </w:rPr>
              <w:t>0.9957</w:t>
            </w:r>
          </w:p>
        </w:tc>
      </w:tr>
      <w:tr>
        <w:tc>
          <w:tcPr>
            <w:tcW w:type="dxa" w:w="1360"/>
            <w:vAlign w:val="center"/>
          </w:tcPr>
          <w:p>
            <w:pPr>
              <w:spacing w:before="20" w:after="20"/>
              <w:jc w:val="left"/>
            </w:pPr>
            <w:r>
              <w:rPr>
                <w:rFonts w:ascii="Times New Roman" w:hAnsi="Times New Roman"/>
                <w:sz w:val="18"/>
              </w:rPr>
              <w:t>Fold 4</w:t>
            </w:r>
          </w:p>
        </w:tc>
        <w:tc>
          <w:tcPr>
            <w:tcW w:type="dxa" w:w="1360"/>
            <w:vAlign w:val="center"/>
          </w:tcPr>
          <w:p>
            <w:pPr>
              <w:spacing w:before="20" w:after="20"/>
              <w:jc w:val="center"/>
            </w:pPr>
            <w:r>
              <w:rPr>
                <w:rFonts w:ascii="Times New Roman" w:hAnsi="Times New Roman"/>
                <w:sz w:val="18"/>
              </w:rPr>
              <w:t>0.1802</w:t>
            </w:r>
          </w:p>
        </w:tc>
        <w:tc>
          <w:tcPr>
            <w:tcW w:type="dxa" w:w="1360"/>
            <w:vAlign w:val="center"/>
          </w:tcPr>
          <w:p>
            <w:pPr>
              <w:spacing w:before="20" w:after="20"/>
              <w:jc w:val="center"/>
            </w:pPr>
            <w:r>
              <w:rPr>
                <w:rFonts w:ascii="Times New Roman" w:hAnsi="Times New Roman"/>
                <w:sz w:val="18"/>
              </w:rPr>
              <w:t>0.6200</w:t>
            </w:r>
          </w:p>
        </w:tc>
        <w:tc>
          <w:tcPr>
            <w:tcW w:type="dxa" w:w="1360"/>
            <w:vAlign w:val="center"/>
          </w:tcPr>
          <w:p>
            <w:pPr>
              <w:spacing w:before="20" w:after="20"/>
              <w:jc w:val="center"/>
            </w:pPr>
            <w:r>
              <w:rPr>
                <w:rFonts w:ascii="Times New Roman" w:hAnsi="Times New Roman"/>
                <w:sz w:val="18"/>
              </w:rPr>
              <w:t>0.9440</w:t>
            </w:r>
          </w:p>
        </w:tc>
        <w:tc>
          <w:tcPr>
            <w:tcW w:type="dxa" w:w="1360"/>
            <w:vAlign w:val="center"/>
          </w:tcPr>
          <w:p>
            <w:pPr>
              <w:spacing w:before="20" w:after="20"/>
              <w:jc w:val="center"/>
            </w:pPr>
            <w:r>
              <w:rPr>
                <w:rFonts w:ascii="Times New Roman" w:hAnsi="Times New Roman"/>
                <w:sz w:val="18"/>
              </w:rPr>
              <w:t>0.1723</w:t>
            </w:r>
          </w:p>
        </w:tc>
        <w:tc>
          <w:tcPr>
            <w:tcW w:type="dxa" w:w="1360"/>
            <w:vAlign w:val="center"/>
          </w:tcPr>
          <w:p>
            <w:pPr>
              <w:spacing w:before="20" w:after="20"/>
              <w:jc w:val="center"/>
            </w:pPr>
            <w:r>
              <w:rPr>
                <w:rFonts w:ascii="Times New Roman" w:hAnsi="Times New Roman"/>
                <w:sz w:val="18"/>
              </w:rPr>
              <w:t>0.2273</w:t>
            </w:r>
          </w:p>
        </w:tc>
        <w:tc>
          <w:tcPr>
            <w:tcW w:type="dxa" w:w="1360"/>
            <w:vAlign w:val="center"/>
          </w:tcPr>
          <w:p>
            <w:pPr>
              <w:spacing w:before="20" w:after="20"/>
              <w:jc w:val="center"/>
            </w:pPr>
            <w:r>
              <w:rPr>
                <w:rFonts w:ascii="Times New Roman" w:hAnsi="Times New Roman"/>
                <w:sz w:val="18"/>
              </w:rPr>
              <w:t>0.9955</w:t>
            </w:r>
          </w:p>
        </w:tc>
      </w:tr>
      <w:tr>
        <w:tc>
          <w:tcPr>
            <w:tcW w:type="dxa" w:w="1360"/>
            <w:vAlign w:val="center"/>
          </w:tcPr>
          <w:p>
            <w:pPr>
              <w:spacing w:before="20" w:after="20"/>
              <w:jc w:val="left"/>
            </w:pPr>
            <w:r>
              <w:rPr>
                <w:rFonts w:ascii="Times New Roman" w:hAnsi="Times New Roman"/>
                <w:sz w:val="18"/>
              </w:rPr>
              <w:t>Fold 5</w:t>
            </w:r>
          </w:p>
        </w:tc>
        <w:tc>
          <w:tcPr>
            <w:tcW w:type="dxa" w:w="1360"/>
            <w:vAlign w:val="center"/>
          </w:tcPr>
          <w:p>
            <w:pPr>
              <w:spacing w:before="20" w:after="20"/>
              <w:jc w:val="center"/>
            </w:pPr>
            <w:r>
              <w:rPr>
                <w:rFonts w:ascii="Times New Roman" w:hAnsi="Times New Roman"/>
                <w:sz w:val="18"/>
              </w:rPr>
              <w:t>0.1893</w:t>
            </w:r>
          </w:p>
        </w:tc>
        <w:tc>
          <w:tcPr>
            <w:tcW w:type="dxa" w:w="1360"/>
            <w:vAlign w:val="center"/>
          </w:tcPr>
          <w:p>
            <w:pPr>
              <w:spacing w:before="20" w:after="20"/>
              <w:jc w:val="center"/>
            </w:pPr>
            <w:r>
              <w:rPr>
                <w:rFonts w:ascii="Times New Roman" w:hAnsi="Times New Roman"/>
                <w:sz w:val="18"/>
              </w:rPr>
              <w:t>0.5096</w:t>
            </w:r>
          </w:p>
        </w:tc>
        <w:tc>
          <w:tcPr>
            <w:tcW w:type="dxa" w:w="1360"/>
            <w:vAlign w:val="center"/>
          </w:tcPr>
          <w:p>
            <w:pPr>
              <w:spacing w:before="20" w:after="20"/>
              <w:jc w:val="center"/>
            </w:pPr>
            <w:r>
              <w:rPr>
                <w:rFonts w:ascii="Times New Roman" w:hAnsi="Times New Roman"/>
                <w:sz w:val="18"/>
              </w:rPr>
              <w:t>0.9463</w:t>
            </w:r>
          </w:p>
        </w:tc>
        <w:tc>
          <w:tcPr>
            <w:tcW w:type="dxa" w:w="1360"/>
            <w:vAlign w:val="center"/>
          </w:tcPr>
          <w:p>
            <w:pPr>
              <w:spacing w:before="20" w:after="20"/>
              <w:jc w:val="center"/>
            </w:pPr>
            <w:r>
              <w:rPr>
                <w:rFonts w:ascii="Times New Roman" w:hAnsi="Times New Roman"/>
                <w:sz w:val="18"/>
              </w:rPr>
              <w:t>0.1670</w:t>
            </w:r>
          </w:p>
        </w:tc>
        <w:tc>
          <w:tcPr>
            <w:tcW w:type="dxa" w:w="1360"/>
            <w:vAlign w:val="center"/>
          </w:tcPr>
          <w:p>
            <w:pPr>
              <w:spacing w:before="20" w:after="20"/>
              <w:jc w:val="center"/>
            </w:pPr>
            <w:r>
              <w:rPr>
                <w:rFonts w:ascii="Times New Roman" w:hAnsi="Times New Roman"/>
                <w:sz w:val="18"/>
              </w:rPr>
              <w:t>0.2781</w:t>
            </w:r>
          </w:p>
        </w:tc>
        <w:tc>
          <w:tcPr>
            <w:tcW w:type="dxa" w:w="1360"/>
            <w:vAlign w:val="center"/>
          </w:tcPr>
          <w:p>
            <w:pPr>
              <w:spacing w:before="20" w:after="20"/>
              <w:jc w:val="center"/>
            </w:pPr>
            <w:r>
              <w:rPr>
                <w:rFonts w:ascii="Times New Roman" w:hAnsi="Times New Roman"/>
                <w:sz w:val="18"/>
              </w:rPr>
              <w:t>0.9948</w:t>
            </w:r>
          </w:p>
        </w:tc>
      </w:tr>
      <w:tr>
        <w:tc>
          <w:tcPr>
            <w:tcW w:type="dxa" w:w="1360"/>
            <w:vAlign w:val="center"/>
          </w:tcPr>
          <w:p>
            <w:pPr>
              <w:spacing w:before="20" w:after="20"/>
              <w:jc w:val="left"/>
            </w:pPr>
            <w:r>
              <w:rPr>
                <w:rFonts w:ascii="Times New Roman" w:hAnsi="Times New Roman"/>
                <w:sz w:val="18"/>
              </w:rPr>
              <w:t>Mean</w:t>
            </w:r>
          </w:p>
        </w:tc>
        <w:tc>
          <w:tcPr>
            <w:tcW w:type="dxa" w:w="1360"/>
            <w:vAlign w:val="center"/>
          </w:tcPr>
          <w:p>
            <w:pPr>
              <w:spacing w:before="20" w:after="20"/>
              <w:jc w:val="center"/>
            </w:pPr>
            <w:r>
              <w:rPr>
                <w:rFonts w:ascii="Times New Roman" w:hAnsi="Times New Roman"/>
                <w:sz w:val="18"/>
              </w:rPr>
              <w:t>0.1876</w:t>
            </w:r>
          </w:p>
        </w:tc>
        <w:tc>
          <w:tcPr>
            <w:tcW w:type="dxa" w:w="1360"/>
            <w:vAlign w:val="center"/>
          </w:tcPr>
          <w:p>
            <w:pPr>
              <w:spacing w:before="20" w:after="20"/>
              <w:jc w:val="center"/>
            </w:pPr>
            <w:r>
              <w:rPr>
                <w:rFonts w:ascii="Times New Roman" w:hAnsi="Times New Roman"/>
                <w:sz w:val="18"/>
              </w:rPr>
              <w:t>0.4925</w:t>
            </w:r>
          </w:p>
        </w:tc>
        <w:tc>
          <w:tcPr>
            <w:tcW w:type="dxa" w:w="1360"/>
            <w:vAlign w:val="center"/>
          </w:tcPr>
          <w:p>
            <w:pPr>
              <w:spacing w:before="20" w:after="20"/>
              <w:jc w:val="center"/>
            </w:pPr>
            <w:r>
              <w:rPr>
                <w:rFonts w:ascii="Times New Roman" w:hAnsi="Times New Roman"/>
                <w:sz w:val="18"/>
              </w:rPr>
              <w:t>0.9516</w:t>
            </w:r>
          </w:p>
        </w:tc>
        <w:tc>
          <w:tcPr>
            <w:tcW w:type="dxa" w:w="1360"/>
            <w:vAlign w:val="center"/>
          </w:tcPr>
          <w:p>
            <w:pPr>
              <w:spacing w:before="20" w:after="20"/>
              <w:jc w:val="center"/>
            </w:pPr>
            <w:r>
              <w:rPr>
                <w:rFonts w:ascii="Times New Roman" w:hAnsi="Times New Roman"/>
                <w:sz w:val="18"/>
              </w:rPr>
              <w:t>0.1688</w:t>
            </w:r>
          </w:p>
        </w:tc>
        <w:tc>
          <w:tcPr>
            <w:tcW w:type="dxa" w:w="1360"/>
            <w:vAlign w:val="center"/>
          </w:tcPr>
          <w:p>
            <w:pPr>
              <w:spacing w:before="20" w:after="20"/>
              <w:jc w:val="center"/>
            </w:pPr>
            <w:r>
              <w:rPr>
                <w:rFonts w:ascii="Times New Roman" w:hAnsi="Times New Roman"/>
                <w:sz w:val="18"/>
              </w:rPr>
              <w:t>0.2627</w:t>
            </w:r>
          </w:p>
        </w:tc>
        <w:tc>
          <w:tcPr>
            <w:tcW w:type="dxa" w:w="1360"/>
            <w:vAlign w:val="center"/>
          </w:tcPr>
          <w:p>
            <w:pPr>
              <w:spacing w:before="20" w:after="20"/>
              <w:jc w:val="center"/>
            </w:pPr>
            <w:r>
              <w:rPr>
                <w:rFonts w:ascii="Times New Roman" w:hAnsi="Times New Roman"/>
                <w:sz w:val="18"/>
              </w:rPr>
              <w:t>0.9949</w:t>
            </w:r>
          </w:p>
        </w:tc>
      </w:tr>
    </w:tbl>
    <w:p>
      <w:pPr>
        <w:spacing w:before="0" w:after="60"/>
      </w:pPr>
    </w:p>
    <w:p>
      <w:pPr>
        <w:pStyle w:val="Heading2"/>
        <w:spacing w:before="100" w:after="40"/>
        <w:jc w:val="left"/>
      </w:pPr>
      <w:r>
        <w:rPr>
          <w:rFonts w:ascii="Times New Roman" w:hAnsi="Times New Roman"/>
          <w:b/>
          <w:color w:val="1E1E1E"/>
          <w:sz w:val="22"/>
        </w:rPr>
        <w:t>5.3 Full Training Refit &amp; Fit Diagnostics</w:t>
      </w:r>
    </w:p>
    <w:p>
      <w:pPr>
        <w:spacing w:before="20" w:after="80" w:line="276" w:lineRule="auto"/>
        <w:jc w:val="left"/>
      </w:pPr>
      <w:r>
        <w:rPr>
          <w:rFonts w:ascii="Times New Roman" w:hAnsi="Times New Roman"/>
          <w:b w:val="0"/>
          <w:i w:val="0"/>
          <w:sz w:val="21"/>
        </w:rPr>
        <w:t>Refitting each finalized model on the full 1000 training points yielded a train MSE of 0.1995 (R^2 = 0.9807) for Var1 and 0.1745 (R^2 = 0.9967) for Var2. The small difference between train MSE and cross-validation MSE (0.1995 vs 0.4925 for Var1; 0.1745 vs 0.2627 for Var2) demonstrates strong generalizability without overfitting.</w:t>
      </w:r>
    </w:p>
    <w:p>
      <w:pPr>
        <w:spacing w:before="80" w:after="40"/>
        <w:jc w:val="center"/>
      </w:pPr>
      <w:r>
        <w:drawing>
          <wp:inline xmlns:a="http://schemas.openxmlformats.org/drawingml/2006/main" xmlns:pic="http://schemas.openxmlformats.org/drawingml/2006/picture">
            <wp:extent cx="4389120" cy="1880700"/>
            <wp:docPr id="3" name="Picture 3"/>
            <wp:cNvGraphicFramePr>
              <a:graphicFrameLocks noChangeAspect="1"/>
            </wp:cNvGraphicFramePr>
            <a:graphic>
              <a:graphicData uri="http://schemas.openxmlformats.org/drawingml/2006/picture">
                <pic:pic>
                  <pic:nvPicPr>
                    <pic:cNvPr id="0" name="fig3_actual_vs_predicted.png"/>
                    <pic:cNvPicPr/>
                  </pic:nvPicPr>
                  <pic:blipFill>
                    <a:blip r:embed="rId11"/>
                    <a:stretch>
                      <a:fillRect/>
                    </a:stretch>
                  </pic:blipFill>
                  <pic:spPr>
                    <a:xfrm>
                      <a:off x="0" y="0"/>
                      <a:ext cx="4389120" cy="1880700"/>
                    </a:xfrm>
                    <a:prstGeom prst="rect"/>
                  </pic:spPr>
                </pic:pic>
              </a:graphicData>
            </a:graphic>
          </wp:inline>
        </w:drawing>
      </w:r>
    </w:p>
    <w:p>
      <w:pPr>
        <w:spacing w:before="20" w:after="100"/>
        <w:jc w:val="center"/>
      </w:pPr>
      <w:r>
        <w:rPr>
          <w:rFonts w:ascii="Times New Roman" w:hAnsi="Times New Roman"/>
          <w:i/>
          <w:sz w:val="18"/>
        </w:rPr>
        <w:t>Figure 3: Predicted vs actual target values on full training sets. Tight alignment confirms high fidelity.</w:t>
      </w:r>
    </w:p>
    <w:p>
      <w:pPr>
        <w:spacing w:before="20" w:after="80" w:line="276" w:lineRule="auto"/>
        <w:jc w:val="left"/>
      </w:pPr>
      <w:r>
        <w:rPr>
          <w:rFonts w:ascii="Times New Roman" w:hAnsi="Times New Roman"/>
          <w:b w:val="0"/>
          <w:i w:val="0"/>
          <w:sz w:val="21"/>
        </w:rPr>
        <w:t>Residual diagnostics (actual minus predicted) confirm well-behaved models: residuals are symmetrically centered at zero with standard deviation 0.446 for Var1 and 0.417 for Var2, displaying no heteroscedastic fan patterns or unmodeled non-linear curvature.</w:t>
      </w:r>
    </w:p>
    <w:p>
      <w:r>
        <w:br w:type="page"/>
      </w:r>
    </w:p>
    <w:p>
      <w:pPr>
        <w:pStyle w:val="Heading1"/>
        <w:spacing w:before="140" w:after="60"/>
        <w:jc w:val="left"/>
      </w:pPr>
      <w:r>
        <w:rPr>
          <w:rFonts w:ascii="Times New Roman" w:hAnsi="Times New Roman"/>
          <w:b/>
          <w:color w:val="000000"/>
          <w:sz w:val="24"/>
        </w:rPr>
        <w:t>6. Discussion &amp; Practical Engineering Reflections</w:t>
      </w:r>
    </w:p>
    <w:p>
      <w:pPr>
        <w:spacing w:before="20" w:after="80" w:line="276" w:lineRule="auto"/>
        <w:jc w:val="left"/>
      </w:pPr>
      <w:r>
        <w:rPr>
          <w:rFonts w:ascii="Times New Roman" w:hAnsi="Times New Roman"/>
          <w:b w:val="0"/>
          <w:i w:val="0"/>
          <w:sz w:val="21"/>
        </w:rPr>
        <w:t>Working through both problems provided several practical insights into polynomial regression dynamics:</w:t>
      </w:r>
    </w:p>
    <w:p>
      <w:pPr>
        <w:spacing w:before="20" w:after="80" w:line="276" w:lineRule="auto"/>
        <w:jc w:val="left"/>
      </w:pPr>
      <w:r>
        <w:rPr>
          <w:rFonts w:ascii="Times New Roman" w:hAnsi="Times New Roman"/>
          <w:b w:val="0"/>
          <w:i w:val="0"/>
          <w:sz w:val="21"/>
        </w:rPr>
        <w:t>1. Interplay of Degree and Regularization: In Var1, degree 5 with weak alpha overfits, but with proper regularization (alpha ~ 2.48), it outperforms degree 4 by nearly 29%. The extra capacity captures real interaction effects while the L2 penalty prevents noisy monomial coefficients from inflating. Hyperparameters must be tuned jointly.</w:t>
      </w:r>
    </w:p>
    <w:p>
      <w:pPr>
        <w:spacing w:before="20" w:after="80" w:line="276" w:lineRule="auto"/>
        <w:jc w:val="left"/>
      </w:pPr>
      <w:r>
        <w:rPr>
          <w:rFonts w:ascii="Times New Roman" w:hAnsi="Times New Roman"/>
          <w:b w:val="0"/>
          <w:i w:val="0"/>
          <w:sz w:val="21"/>
        </w:rPr>
        <w:t>2. Dimensionality vs Degree Capacity: In Var1 (6 features), degree 5 produced 461 features, reaching the practical limit for 1000 observations. In Var2 (3 features), degree 12 required only 454 features. Low-dimensional problems allow much deeper polynomial expansions to capture intricate physical fields without parameter explosion.</w:t>
      </w:r>
    </w:p>
    <w:p>
      <w:pPr>
        <w:spacing w:before="20" w:after="80" w:line="276" w:lineRule="auto"/>
        <w:jc w:val="left"/>
      </w:pPr>
      <w:r>
        <w:rPr>
          <w:rFonts w:ascii="Times New Roman" w:hAnsi="Times New Roman"/>
          <w:b w:val="0"/>
          <w:i w:val="0"/>
          <w:sz w:val="21"/>
        </w:rPr>
        <w:t>3. Collinearity and Shrinkage: Because continuous powers and interactions are collinear, unregularized OLS fails. Ridge regression proved well-suited by smoothly shrinking all coefficients rather than dropping them arbitrarily.</w:t>
      </w:r>
    </w:p>
    <w:p>
      <w:pPr>
        <w:spacing w:before="20" w:after="80" w:line="276" w:lineRule="auto"/>
        <w:jc w:val="left"/>
      </w:pPr>
      <w:r>
        <w:rPr>
          <w:rFonts w:ascii="Times New Roman" w:hAnsi="Times New Roman"/>
          <w:b w:val="0"/>
          <w:i w:val="0"/>
          <w:sz w:val="21"/>
        </w:rPr>
        <w:t>4. Future Improvements: If extending this work, I would test ElasticNet or feature importance pruning to identify and drop negligible monomial terms, yielding a sparser, more interpretable equation for plant engineers.</w:t>
      </w:r>
    </w:p>
    <w:p>
      <w:pPr>
        <w:pStyle w:val="Heading1"/>
        <w:spacing w:before="140" w:after="60"/>
        <w:jc w:val="left"/>
      </w:pPr>
      <w:r>
        <w:rPr>
          <w:rFonts w:ascii="Times New Roman" w:hAnsi="Times New Roman"/>
          <w:b/>
          <w:color w:val="000000"/>
          <w:sz w:val="24"/>
        </w:rPr>
        <w:t>7. Conclusion &amp; Deliverables Summary</w:t>
      </w:r>
    </w:p>
    <w:p>
      <w:pPr>
        <w:spacing w:before="20" w:after="80" w:line="276" w:lineRule="auto"/>
        <w:jc w:val="left"/>
      </w:pPr>
      <w:r>
        <w:rPr>
          <w:rFonts w:ascii="Times New Roman" w:hAnsi="Times New Roman"/>
          <w:b w:val="0"/>
          <w:i w:val="0"/>
          <w:sz w:val="21"/>
        </w:rPr>
        <w:t>To conclude, I developed and validated two polynomial Ridge regression models for BT2024078. Var1 achieves a 5-fold CV R^2 of 0.9516 (CV MSE = 0.4925) using degree 5 with alpha = 2.477. Var2 achieves a CV R^2 of 0.9949 (CV MSE = 0.2627) using degree 12 with alpha = 0.231. Both models display tight training fits, consistent cross-validation folds, and well-dispersed residuals.</w:t>
      </w:r>
    </w:p>
    <w:p>
      <w:pPr>
        <w:spacing w:before="20" w:after="80" w:line="276" w:lineRule="auto"/>
        <w:jc w:val="left"/>
      </w:pPr>
      <w:r>
        <w:rPr>
          <w:rFonts w:ascii="Times New Roman" w:hAnsi="Times New Roman"/>
          <w:b w:val="0"/>
          <w:i w:val="0"/>
          <w:sz w:val="21"/>
        </w:rPr>
        <w:t>Predictions for both test sets (1000 rows each) have been verified and exported to CSV format. All code and assets are documented in the GitHub repository.</w:t>
      </w:r>
    </w:p>
    <w:tbl>
      <w:tblPr>
        <w:tblStyle w:val="TableGrid"/>
        <w:tblW w:type="auto" w:w="0"/>
        <w:jc w:val="center"/>
        <w:tblLook w:firstColumn="1" w:firstRow="1" w:lastColumn="0" w:lastRow="0" w:noHBand="0" w:noVBand="1" w:val="04A0"/>
        <w:tblCellMar>
          <w:top w:w="60" w:type="dxa"/>
          <w:bottom w:w="60" w:type="dxa"/>
          <w:left w:w="100" w:type="dxa"/>
          <w:right w:w="100" w:type="dxa"/>
        </w:tblCellMar>
      </w:tblPr>
      <w:tblGrid>
        <w:gridCol w:w="2379"/>
        <w:gridCol w:w="2379"/>
        <w:gridCol w:w="2379"/>
        <w:gridCol w:w="2379"/>
      </w:tblGrid>
      <w:tr>
        <w:tc>
          <w:tcPr>
            <w:tcW w:type="dxa" w:w="2379"/>
            <w:vAlign w:val="center"/>
          </w:tcPr>
          <w:p>
            <w:pPr>
              <w:spacing w:before="20" w:after="20"/>
              <w:jc w:val="center"/>
            </w:pPr>
            <w:r>
              <w:rPr>
                <w:rFonts w:ascii="Times New Roman" w:hAnsi="Times New Roman"/>
                <w:b/>
                <w:sz w:val="18"/>
              </w:rPr>
              <w:t>Deliverable</w:t>
            </w:r>
          </w:p>
        </w:tc>
        <w:tc>
          <w:tcPr>
            <w:tcW w:type="dxa" w:w="2379"/>
            <w:vAlign w:val="center"/>
          </w:tcPr>
          <w:p>
            <w:pPr>
              <w:spacing w:before="20" w:after="20"/>
              <w:jc w:val="center"/>
            </w:pPr>
            <w:r>
              <w:rPr>
                <w:rFonts w:ascii="Times New Roman" w:hAnsi="Times New Roman"/>
                <w:b/>
                <w:sz w:val="18"/>
              </w:rPr>
              <w:t>File Name</w:t>
            </w:r>
          </w:p>
        </w:tc>
        <w:tc>
          <w:tcPr>
            <w:tcW w:type="dxa" w:w="2379"/>
            <w:vAlign w:val="center"/>
          </w:tcPr>
          <w:p>
            <w:pPr>
              <w:spacing w:before="20" w:after="20"/>
              <w:jc w:val="center"/>
            </w:pPr>
            <w:r>
              <w:rPr>
                <w:rFonts w:ascii="Times New Roman" w:hAnsi="Times New Roman"/>
                <w:b/>
                <w:sz w:val="18"/>
              </w:rPr>
              <w:t>Details</w:t>
            </w:r>
          </w:p>
        </w:tc>
        <w:tc>
          <w:tcPr>
            <w:tcW w:type="dxa" w:w="2379"/>
            <w:vAlign w:val="center"/>
          </w:tcPr>
          <w:p>
            <w:pPr>
              <w:spacing w:before="20" w:after="20"/>
              <w:jc w:val="center"/>
            </w:pPr>
            <w:r>
              <w:rPr>
                <w:rFonts w:ascii="Times New Roman" w:hAnsi="Times New Roman"/>
                <w:b/>
                <w:sz w:val="18"/>
              </w:rPr>
              <w:t>Status</w:t>
            </w:r>
          </w:p>
        </w:tc>
      </w:tr>
      <w:tr>
        <w:tc>
          <w:tcPr>
            <w:tcW w:type="dxa" w:w="2379"/>
            <w:vAlign w:val="center"/>
          </w:tcPr>
          <w:p>
            <w:pPr>
              <w:spacing w:before="20" w:after="20"/>
              <w:jc w:val="left"/>
            </w:pPr>
            <w:r>
              <w:rPr>
                <w:rFonts w:ascii="Times New Roman" w:hAnsi="Times New Roman"/>
                <w:sz w:val="18"/>
              </w:rPr>
              <w:t>Phase 1 Predictions</w:t>
            </w:r>
          </w:p>
        </w:tc>
        <w:tc>
          <w:tcPr>
            <w:tcW w:type="dxa" w:w="2379"/>
            <w:vAlign w:val="center"/>
          </w:tcPr>
          <w:p>
            <w:pPr>
              <w:spacing w:before="20" w:after="20"/>
              <w:jc w:val="center"/>
            </w:pPr>
            <w:r>
              <w:rPr>
                <w:rFonts w:ascii="Times New Roman" w:hAnsi="Times New Roman"/>
                <w:sz w:val="18"/>
              </w:rPr>
              <w:t>BT2024078_pred_var1.csv</w:t>
            </w:r>
          </w:p>
        </w:tc>
        <w:tc>
          <w:tcPr>
            <w:tcW w:type="dxa" w:w="2379"/>
            <w:vAlign w:val="center"/>
          </w:tcPr>
          <w:p>
            <w:pPr>
              <w:spacing w:before="20" w:after="20"/>
              <w:jc w:val="center"/>
            </w:pPr>
            <w:r>
              <w:rPr>
                <w:rFonts w:ascii="Times New Roman" w:hAnsi="Times New Roman"/>
                <w:sz w:val="18"/>
              </w:rPr>
              <w:t>1000 predictions for steam turbine test set</w:t>
            </w:r>
          </w:p>
        </w:tc>
        <w:tc>
          <w:tcPr>
            <w:tcW w:type="dxa" w:w="2379"/>
            <w:vAlign w:val="center"/>
          </w:tcPr>
          <w:p>
            <w:pPr>
              <w:spacing w:before="20" w:after="20"/>
              <w:jc w:val="center"/>
            </w:pPr>
            <w:r>
              <w:rPr>
                <w:rFonts w:ascii="Times New Roman" w:hAnsi="Times New Roman"/>
                <w:sz w:val="18"/>
              </w:rPr>
              <w:t>Verified (No NaNs)</w:t>
            </w:r>
          </w:p>
        </w:tc>
      </w:tr>
      <w:tr>
        <w:tc>
          <w:tcPr>
            <w:tcW w:type="dxa" w:w="2379"/>
            <w:vAlign w:val="center"/>
          </w:tcPr>
          <w:p>
            <w:pPr>
              <w:spacing w:before="20" w:after="20"/>
              <w:jc w:val="left"/>
            </w:pPr>
            <w:r>
              <w:rPr>
                <w:rFonts w:ascii="Times New Roman" w:hAnsi="Times New Roman"/>
                <w:sz w:val="18"/>
              </w:rPr>
              <w:t>Phase 2 Predictions</w:t>
            </w:r>
          </w:p>
        </w:tc>
        <w:tc>
          <w:tcPr>
            <w:tcW w:type="dxa" w:w="2379"/>
            <w:vAlign w:val="center"/>
          </w:tcPr>
          <w:p>
            <w:pPr>
              <w:spacing w:before="20" w:after="20"/>
              <w:jc w:val="center"/>
            </w:pPr>
            <w:r>
              <w:rPr>
                <w:rFonts w:ascii="Times New Roman" w:hAnsi="Times New Roman"/>
                <w:sz w:val="18"/>
              </w:rPr>
              <w:t>BT2024078_pred_var2.csv</w:t>
            </w:r>
          </w:p>
        </w:tc>
        <w:tc>
          <w:tcPr>
            <w:tcW w:type="dxa" w:w="2379"/>
            <w:vAlign w:val="center"/>
          </w:tcPr>
          <w:p>
            <w:pPr>
              <w:spacing w:before="20" w:after="20"/>
              <w:jc w:val="center"/>
            </w:pPr>
            <w:r>
              <w:rPr>
                <w:rFonts w:ascii="Times New Roman" w:hAnsi="Times New Roman"/>
                <w:sz w:val="18"/>
              </w:rPr>
              <w:t>1000 predictions for thermal reservoir test set</w:t>
            </w:r>
          </w:p>
        </w:tc>
        <w:tc>
          <w:tcPr>
            <w:tcW w:type="dxa" w:w="2379"/>
            <w:vAlign w:val="center"/>
          </w:tcPr>
          <w:p>
            <w:pPr>
              <w:spacing w:before="20" w:after="20"/>
              <w:jc w:val="center"/>
            </w:pPr>
            <w:r>
              <w:rPr>
                <w:rFonts w:ascii="Times New Roman" w:hAnsi="Times New Roman"/>
                <w:sz w:val="18"/>
              </w:rPr>
              <w:t>Verified (No NaNs)</w:t>
            </w:r>
          </w:p>
        </w:tc>
      </w:tr>
      <w:tr>
        <w:tc>
          <w:tcPr>
            <w:tcW w:type="dxa" w:w="2379"/>
            <w:vAlign w:val="center"/>
          </w:tcPr>
          <w:p>
            <w:pPr>
              <w:spacing w:before="20" w:after="20"/>
              <w:jc w:val="left"/>
            </w:pPr>
            <w:r>
              <w:rPr>
                <w:rFonts w:ascii="Times New Roman" w:hAnsi="Times New Roman"/>
                <w:sz w:val="18"/>
              </w:rPr>
              <w:t>Report Document</w:t>
            </w:r>
          </w:p>
        </w:tc>
        <w:tc>
          <w:tcPr>
            <w:tcW w:type="dxa" w:w="2379"/>
            <w:vAlign w:val="center"/>
          </w:tcPr>
          <w:p>
            <w:pPr>
              <w:spacing w:before="20" w:after="20"/>
              <w:jc w:val="center"/>
            </w:pPr>
            <w:r>
              <w:rPr>
                <w:rFonts w:ascii="Times New Roman" w:hAnsi="Times New Roman"/>
                <w:sz w:val="18"/>
              </w:rPr>
              <w:t>BT2024078_Report.docx</w:t>
            </w:r>
          </w:p>
        </w:tc>
        <w:tc>
          <w:tcPr>
            <w:tcW w:type="dxa" w:w="2379"/>
            <w:vAlign w:val="center"/>
          </w:tcPr>
          <w:p>
            <w:pPr>
              <w:spacing w:before="20" w:after="20"/>
              <w:jc w:val="center"/>
            </w:pPr>
            <w:r>
              <w:rPr>
                <w:rFonts w:ascii="Times New Roman" w:hAnsi="Times New Roman"/>
                <w:sz w:val="18"/>
              </w:rPr>
              <w:t>Technical documentation of methodology and findings</w:t>
            </w:r>
          </w:p>
        </w:tc>
        <w:tc>
          <w:tcPr>
            <w:tcW w:type="dxa" w:w="2379"/>
            <w:vAlign w:val="center"/>
          </w:tcPr>
          <w:p>
            <w:pPr>
              <w:spacing w:before="20" w:after="20"/>
              <w:jc w:val="center"/>
            </w:pPr>
            <w:r>
              <w:rPr>
                <w:rFonts w:ascii="Times New Roman" w:hAnsi="Times New Roman"/>
                <w:sz w:val="18"/>
              </w:rPr>
              <w:t>Complete (BT2024078)</w:t>
            </w:r>
          </w:p>
        </w:tc>
      </w:tr>
      <w:tr>
        <w:tc>
          <w:tcPr>
            <w:tcW w:type="dxa" w:w="2379"/>
            <w:vAlign w:val="center"/>
          </w:tcPr>
          <w:p>
            <w:pPr>
              <w:spacing w:before="20" w:after="20"/>
              <w:jc w:val="left"/>
            </w:pPr>
            <w:r>
              <w:rPr>
                <w:rFonts w:ascii="Times New Roman" w:hAnsi="Times New Roman"/>
                <w:sz w:val="18"/>
              </w:rPr>
              <w:t>Code Pipeline</w:t>
            </w:r>
          </w:p>
        </w:tc>
        <w:tc>
          <w:tcPr>
            <w:tcW w:type="dxa" w:w="2379"/>
            <w:vAlign w:val="center"/>
          </w:tcPr>
          <w:p>
            <w:pPr>
              <w:spacing w:before="20" w:after="20"/>
              <w:jc w:val="center"/>
            </w:pPr>
            <w:r>
              <w:rPr>
                <w:rFonts w:ascii="Times New Roman" w:hAnsi="Times New Roman"/>
                <w:sz w:val="18"/>
              </w:rPr>
              <w:t>polynomial_regression.py</w:t>
            </w:r>
          </w:p>
        </w:tc>
        <w:tc>
          <w:tcPr>
            <w:tcW w:type="dxa" w:w="2379"/>
            <w:vAlign w:val="center"/>
          </w:tcPr>
          <w:p>
            <w:pPr>
              <w:spacing w:before="20" w:after="20"/>
              <w:jc w:val="center"/>
            </w:pPr>
            <w:r>
              <w:rPr>
                <w:rFonts w:ascii="Times New Roman" w:hAnsi="Times New Roman"/>
                <w:sz w:val="18"/>
              </w:rPr>
              <w:t>Complete model training, CV search, and inference</w:t>
            </w:r>
          </w:p>
        </w:tc>
        <w:tc>
          <w:tcPr>
            <w:tcW w:type="dxa" w:w="2379"/>
            <w:vAlign w:val="center"/>
          </w:tcPr>
          <w:p>
            <w:pPr>
              <w:spacing w:before="20" w:after="20"/>
              <w:jc w:val="center"/>
            </w:pPr>
            <w:r>
              <w:rPr>
                <w:rFonts w:ascii="Times New Roman" w:hAnsi="Times New Roman"/>
                <w:sz w:val="18"/>
              </w:rPr>
              <w:t>Verified</w:t>
            </w:r>
          </w:p>
        </w:tc>
      </w:tr>
      <w:tr>
        <w:tc>
          <w:tcPr>
            <w:tcW w:type="dxa" w:w="2379"/>
            <w:vAlign w:val="center"/>
          </w:tcPr>
          <w:p>
            <w:pPr>
              <w:spacing w:before="20" w:after="20"/>
              <w:jc w:val="left"/>
            </w:pPr>
            <w:r>
              <w:rPr>
                <w:rFonts w:ascii="Times New Roman" w:hAnsi="Times New Roman"/>
                <w:sz w:val="18"/>
              </w:rPr>
              <w:t>GitHub Repository</w:t>
            </w:r>
          </w:p>
        </w:tc>
        <w:tc>
          <w:tcPr>
            <w:tcW w:type="dxa" w:w="2379"/>
            <w:vAlign w:val="center"/>
          </w:tcPr>
          <w:p>
            <w:pPr>
              <w:spacing w:before="20" w:after="20"/>
              <w:jc w:val="center"/>
            </w:pPr>
            <w:r>
              <w:rPr>
                <w:rFonts w:ascii="Times New Roman" w:hAnsi="Times New Roman"/>
                <w:sz w:val="18"/>
              </w:rPr>
              <w:t>ML-Assignment-Polynomial-Regression</w:t>
            </w:r>
          </w:p>
        </w:tc>
        <w:tc>
          <w:tcPr>
            <w:tcW w:type="dxa" w:w="2379"/>
            <w:vAlign w:val="center"/>
          </w:tcPr>
          <w:p>
            <w:pPr>
              <w:spacing w:before="20" w:after="20"/>
              <w:jc w:val="center"/>
            </w:pPr>
            <w:r>
              <w:rPr>
                <w:rFonts w:ascii="Times New Roman" w:hAnsi="Times New Roman"/>
                <w:sz w:val="18"/>
              </w:rPr>
              <w:t>Public Git repository with code and assets</w:t>
            </w:r>
          </w:p>
        </w:tc>
        <w:tc>
          <w:tcPr>
            <w:tcW w:type="dxa" w:w="2379"/>
            <w:vAlign w:val="center"/>
          </w:tcPr>
          <w:p>
            <w:pPr>
              <w:spacing w:before="20" w:after="20"/>
              <w:jc w:val="center"/>
            </w:pPr>
            <w:r>
              <w:rPr>
                <w:rFonts w:ascii="Times New Roman" w:hAnsi="Times New Roman"/>
                <w:sz w:val="18"/>
              </w:rPr>
              <w:t>Pushed &amp; Synchronized</w:t>
            </w:r>
          </w:p>
        </w:tc>
      </w:tr>
    </w:tbl>
    <w:p>
      <w:pPr>
        <w:spacing w:before="0" w:after="60"/>
      </w:pPr>
    </w:p>
    <w:p>
      <w:pPr>
        <w:spacing w:before="80" w:after="80" w:line="276" w:lineRule="auto"/>
        <w:jc w:val="left"/>
      </w:pPr>
      <w:r>
        <w:rPr>
          <w:rFonts w:ascii="Times New Roman" w:hAnsi="Times New Roman"/>
          <w:b w:val="0"/>
          <w:i/>
          <w:sz w:val="21"/>
        </w:rPr>
        <w:t>Report prepared by Aangir Doshi (Roll No: BT2024078) for Machine Learning Assignment 1.</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