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808080"/>
          <w:sz w:val="22"/>
          <w:szCs w:val="22"/>
        </w:rPr>
        <w:t xml:space="preserve">RESEARCH PROPOSAL</w:t>
      </w:r>
    </w:p>
    <w:p>
      <w:pPr>
        <w:spacing w:after="80"/>
        <w:jc w:val="center"/>
      </w:pPr>
      <w:r>
        <w:rPr>
          <w:rFonts w:ascii="Arial" w:cs="Arial" w:eastAsia="Arial" w:hAnsi="Arial"/>
          <w:b/>
          <w:bCs/>
          <w:color w:val="1F3864"/>
          <w:sz w:val="32"/>
          <w:szCs w:val="32"/>
        </w:rPr>
        <w:t xml:space="preserve">CrossVul-DG: Class-Conditional Domain Generalization for Cross-Project Software Vulnerability Detection</w:t>
      </w:r>
    </w:p>
    <w:p>
      <w:pPr>
        <w:spacing w:after="120" w:line="276"/>
        <w:jc w:val="center"/>
      </w:pPr>
      <w:r>
        <w:rPr>
          <w:rFonts w:ascii="Arial" w:cs="Arial" w:eastAsia="Arial" w:hAnsi="Arial"/>
          <w:b w:val="false"/>
          <w:bCs w:val="false"/>
          <w:i/>
          <w:iCs/>
          <w:sz w:val="22"/>
          <w:szCs w:val="22"/>
        </w:rPr>
        <w:t xml:space="preserve">Topic 4 — Software Vulnerability Detection via Domain Generalization</w:t>
      </w:r>
    </w:p>
    <w:p>
      <w:pPr>
        <w:spacing w:after="120" w:line="276"/>
        <w:jc w:val="center"/>
      </w:pPr>
      <w:r>
        <w:rPr>
          <w:rFonts w:ascii="Arial" w:cs="Arial" w:eastAsia="Arial" w:hAnsi="Arial"/>
          <w:b w:val="false"/>
          <w:bCs w:val="false"/>
          <w:i/>
          <w:iCs/>
          <w:color w:val="595959"/>
          <w:sz w:val="20"/>
          <w:szCs w:val="20"/>
        </w:rPr>
        <w:t xml:space="preserve">Target venue (priority order): SANER (research/mining) · ICSME · QRS · SCAM · APSEC · IEEE KSE — IEEE conference format (~8–10 pages, double-blind)</w:t>
      </w:r>
    </w:p>
    <w:p>
      <w:pPr>
        <w:spacing w:after="60"/>
      </w:pPr>
    </w:p>
    <w:p>
      <w:pPr>
        <w:pStyle w:val="Heading1"/>
        <w:spacing w:after="140" w:before="260"/>
      </w:pPr>
      <w:r>
        <w:rPr>
          <w:rFonts w:ascii="Arial" w:cs="Arial" w:eastAsia="Arial" w:hAnsi="Arial"/>
          <w:b/>
          <w:bCs/>
          <w:color w:val="1F3864"/>
          <w:sz w:val="30"/>
          <w:szCs w:val="30"/>
        </w:rPr>
        <w:t xml:space="preserve">1. Executive Summary</w:t>
      </w:r>
    </w:p>
    <w:p>
      <w:pPr>
        <w:spacing w:after="120" w:line="276"/>
        <w:jc w:val="left"/>
      </w:pPr>
      <w:r>
        <w:rPr>
          <w:rFonts w:ascii="Arial" w:cs="Arial" w:eastAsia="Arial" w:hAnsi="Arial"/>
          <w:b w:val="false"/>
          <w:bCs w:val="false"/>
          <w:i w:val="false"/>
          <w:iCs w:val="false"/>
          <w:sz w:val="22"/>
          <w:szCs w:val="22"/>
        </w:rPr>
        <w:t xml:space="preserve">Modern deep-learning vulnerability detectors achieve strong in-distribution F1 but lose substantial performance when applied to projects unseen during training — precisely the setting that matters for deployment. The two existing remedies are each limited: Domain Adaptation (DA) needs target-project data at training time (unrealistic when shipping a detector to unknown customer codebases), and recent Domain Generalization (DG) for SVD treats the project as the only unit of invariance while ignoring the severe class imbalance of real vulnerability data.</w:t>
      </w:r>
    </w:p>
    <w:p>
      <w:pPr>
        <w:spacing w:after="120" w:line="276"/>
      </w:pPr>
      <w:r>
        <w:rPr>
          <w:rFonts w:ascii="Arial" w:cs="Arial" w:eastAsia="Arial" w:hAnsi="Arial"/>
          <w:b w:val="false"/>
          <w:bCs w:val="false"/>
          <w:i w:val="false"/>
          <w:iCs w:val="false"/>
          <w:sz w:val="22"/>
          <w:szCs w:val="22"/>
        </w:rPr>
        <w:t xml:space="preserve">We propose </w:t>
      </w:r>
      <w:r>
        <w:rPr>
          <w:rFonts w:ascii="Arial" w:cs="Arial" w:eastAsia="Arial" w:hAnsi="Arial"/>
          <w:b/>
          <w:bCs/>
          <w:i w:val="false"/>
          <w:iCs w:val="false"/>
          <w:sz w:val="22"/>
          <w:szCs w:val="22"/>
        </w:rPr>
        <w:t xml:space="preserve">CrossVul-DG</w:t>
      </w:r>
      <w:r>
        <w:rPr>
          <w:rFonts w:ascii="Arial" w:cs="Arial" w:eastAsia="Arial" w:hAnsi="Arial"/>
          <w:b w:val="false"/>
          <w:bCs w:val="false"/>
          <w:i w:val="false"/>
          <w:iCs w:val="false"/>
          <w:sz w:val="22"/>
          <w:szCs w:val="22"/>
        </w:rPr>
        <w:t xml:space="preserve">, an empirical study of invariance/robustness-based DG for cross-project SVD on MegaVul (992 projects, ~1:19 vulnerable-to-safe imbalance), and </w:t>
      </w:r>
      <w:r>
        <w:rPr>
          <w:rFonts w:ascii="Arial" w:cs="Arial" w:eastAsia="Arial" w:hAnsi="Arial"/>
          <w:b/>
          <w:bCs/>
          <w:i w:val="false"/>
          <w:iCs w:val="false"/>
          <w:sz w:val="22"/>
          <w:szCs w:val="22"/>
        </w:rPr>
        <w:t xml:space="preserve">CC-DRO</w:t>
      </w:r>
      <w:r>
        <w:rPr>
          <w:rFonts w:ascii="Arial" w:cs="Arial" w:eastAsia="Arial" w:hAnsi="Arial"/>
          <w:b w:val="false"/>
          <w:bCs w:val="false"/>
          <w:i w:val="false"/>
          <w:iCs w:val="false"/>
          <w:sz w:val="22"/>
          <w:szCs w:val="22"/>
        </w:rPr>
        <w:t xml:space="preserve"> (Class-Conditional Distributionally-Robust Optimization), a new objective targeted at the coupled domain-shift + class-imbalance problem. CC-DRO forms distributional groups over (project × class) cells and adds a cross-project positive-class risk-invariance penalty, so the model's vulnerability sensitivity is robust </w:t>
      </w:r>
      <w:r>
        <w:rPr>
          <w:rFonts w:ascii="Arial" w:cs="Arial" w:eastAsia="Arial" w:hAnsi="Arial"/>
          <w:b w:val="false"/>
          <w:bCs w:val="false"/>
          <w:i/>
          <w:iCs/>
          <w:sz w:val="22"/>
          <w:szCs w:val="22"/>
        </w:rPr>
        <w:t xml:space="preserve">and</w:t>
      </w:r>
      <w:r>
        <w:rPr>
          <w:rFonts w:ascii="Arial" w:cs="Arial" w:eastAsia="Arial" w:hAnsi="Arial"/>
          <w:b w:val="false"/>
          <w:bCs w:val="false"/>
          <w:i w:val="false"/>
          <w:iCs w:val="false"/>
          <w:sz w:val="22"/>
          <w:szCs w:val="22"/>
        </w:rPr>
        <w:t xml:space="preserve"> consistent across unseen projects. We compare CC-DRO against ERM, IRM, GroupDRO, two DA baselines (which access unlabelled target data), and a pseudo-domain variant, under a leave-one-project-out (LOPO) protocol with a chronological 8:1:1 split.</w:t>
      </w:r>
    </w:p>
    <w:p>
      <w:pPr>
        <w:spacing w:after="120" w:line="276"/>
      </w:pPr>
      <w:r>
        <w:rPr>
          <w:rFonts w:ascii="Arial" w:cs="Arial" w:eastAsia="Arial" w:hAnsi="Arial"/>
          <w:b/>
          <w:bCs/>
          <w:i w:val="false"/>
          <w:iCs w:val="false"/>
          <w:sz w:val="22"/>
          <w:szCs w:val="22"/>
        </w:rPr>
        <w:t xml:space="preserve">Anticipated outcome: </w:t>
      </w:r>
      <w:r>
        <w:rPr>
          <w:rFonts w:ascii="Arial" w:cs="Arial" w:eastAsia="Arial" w:hAnsi="Arial"/>
          <w:b w:val="false"/>
          <w:bCs w:val="false"/>
          <w:i w:val="false"/>
          <w:iCs w:val="false"/>
          <w:sz w:val="22"/>
          <w:szCs w:val="22"/>
        </w:rPr>
        <w:t xml:space="preserve">CC-DRO improves cross-project PR-AUC and, crucially, narrows the cross-project vulnerability-recall gap relative to class-blind DG, while keeping the seen-project regression small. The submission target is a (reviewer-friendly) IEEE conference within ~12 weeks. We release code, pre-processed splits, and per-fold/per-seed results for full reproducibility.</w:t>
      </w:r>
    </w:p>
    <w:p>
      <w:pPr>
        <w:pStyle w:val="Heading1"/>
        <w:spacing w:after="140" w:before="260"/>
      </w:pPr>
      <w:r>
        <w:rPr>
          <w:rFonts w:ascii="Arial" w:cs="Arial" w:eastAsia="Arial" w:hAnsi="Arial"/>
          <w:b/>
          <w:bCs/>
          <w:color w:val="1F3864"/>
          <w:sz w:val="30"/>
          <w:szCs w:val="30"/>
        </w:rPr>
        <w:t xml:space="preserve">2. Problem Statement and Motivation</w:t>
      </w:r>
    </w:p>
    <w:p>
      <w:pPr>
        <w:pStyle w:val="Heading2"/>
        <w:spacing w:after="100" w:before="180"/>
      </w:pPr>
      <w:r>
        <w:rPr>
          <w:rFonts w:ascii="Arial" w:cs="Arial" w:eastAsia="Arial" w:hAnsi="Arial"/>
          <w:b/>
          <w:bCs/>
          <w:color w:val="2E5496"/>
          <w:sz w:val="25"/>
          <w:szCs w:val="25"/>
        </w:rPr>
        <w:t xml:space="preserve">2.1 The cross-project performance gap</w:t>
      </w:r>
    </w:p>
    <w:p>
      <w:pPr>
        <w:spacing w:after="120" w:line="276"/>
        <w:jc w:val="left"/>
      </w:pPr>
      <w:r>
        <w:rPr>
          <w:rFonts w:ascii="Arial" w:cs="Arial" w:eastAsia="Arial" w:hAnsi="Arial"/>
          <w:b w:val="false"/>
          <w:bCs w:val="false"/>
          <w:i w:val="false"/>
          <w:iCs w:val="false"/>
          <w:sz w:val="22"/>
          <w:szCs w:val="22"/>
        </w:rPr>
        <w:t xml:space="preserve">Chakraborty et al. (IEEE TSE 2022) and Steenhoek et al. (ICSE 2023) document that DL-based vulnerability detectors trained on one project degrade severely on unseen projects. The drop reflects domain shift in coding conventions, naming patterns, library usage, and architectural style — a structural shift that standard fine-tuning does not close.</w:t>
      </w:r>
    </w:p>
    <w:p>
      <w:pPr>
        <w:pStyle w:val="Heading2"/>
        <w:spacing w:after="100" w:before="180"/>
      </w:pPr>
      <w:r>
        <w:rPr>
          <w:rFonts w:ascii="Arial" w:cs="Arial" w:eastAsia="Arial" w:hAnsi="Arial"/>
          <w:b/>
          <w:bCs/>
          <w:color w:val="2E5496"/>
          <w:sz w:val="25"/>
          <w:szCs w:val="25"/>
        </w:rPr>
        <w:t xml:space="preserve">2.2 The coupled problem: domain shift AND class imbalance</w:t>
      </w:r>
    </w:p>
    <w:p>
      <w:pPr>
        <w:spacing w:after="120" w:line="276"/>
        <w:jc w:val="left"/>
      </w:pPr>
      <w:r>
        <w:rPr>
          <w:rFonts w:ascii="Arial" w:cs="Arial" w:eastAsia="Arial" w:hAnsi="Arial"/>
          <w:b w:val="false"/>
          <w:bCs w:val="false"/>
          <w:i w:val="false"/>
          <w:iCs w:val="false"/>
          <w:sz w:val="22"/>
          <w:szCs w:val="22"/>
        </w:rPr>
        <w:t xml:space="preserve">Cross-project SVD is not a pure domain-shift problem. Real vulnerability datasets are highly imbalanced — in MegaVul roughly 1 in 20 functions is vulnerable. This couples two difficulties. Off-the-shelf DG objectives (IRM, GroupDRO) take the project as the unit of invariance and are class-blind: under 1:19 imbalance, the worst-case per-project risk can be minimised by becoming very good at the dominant safe class, so the rare-but-critical vulnerability signal is under-served — and there is nothing in the objective to make vulnerability recall consistent from one project to the next. A detector can therefore look strong on aggregate while its ability to flag real vulnerabilities swings wildly across projects. This coupling is the gap CrossVul-DG targets.</w:t>
      </w:r>
    </w:p>
    <w:p>
      <w:pPr>
        <w:pStyle w:val="Heading2"/>
        <w:spacing w:after="100" w:before="180"/>
      </w:pPr>
      <w:r>
        <w:rPr>
          <w:rFonts w:ascii="Arial" w:cs="Arial" w:eastAsia="Arial" w:hAnsi="Arial"/>
          <w:b/>
          <w:bCs/>
          <w:color w:val="2E5496"/>
          <w:sz w:val="25"/>
          <w:szCs w:val="25"/>
        </w:rPr>
        <w:t xml:space="preserve">2.3 Limitations of Domain Adaptation</w:t>
      </w:r>
    </w:p>
    <w:p>
      <w:pPr>
        <w:spacing w:after="120" w:line="276"/>
        <w:jc w:val="left"/>
      </w:pPr>
      <w:r>
        <w:rPr>
          <w:rFonts w:ascii="Arial" w:cs="Arial" w:eastAsia="Arial" w:hAnsi="Arial"/>
          <w:b w:val="false"/>
          <w:bCs w:val="false"/>
          <w:i w:val="false"/>
          <w:iCs w:val="false"/>
          <w:sz w:val="22"/>
          <w:szCs w:val="22"/>
        </w:rPr>
        <w:t xml:space="preserve">DA methods such as DANN and Deep CORAL rely on target-domain features at training time. This breaks for security vendors deploying to unknown customer codebases. We need a method requiring no target data. (CEVD is a DG — not DA — method, and VulGate is a dataset; see Section 4.)</w:t>
      </w:r>
    </w:p>
    <w:p>
      <w:pPr>
        <w:pStyle w:val="Heading2"/>
        <w:spacing w:after="100" w:before="180"/>
      </w:pPr>
      <w:r>
        <w:rPr>
          <w:rFonts w:ascii="Arial" w:cs="Arial" w:eastAsia="Arial" w:hAnsi="Arial"/>
          <w:b/>
          <w:bCs/>
          <w:color w:val="2E5496"/>
          <w:sz w:val="25"/>
          <w:szCs w:val="25"/>
        </w:rPr>
        <w:t xml:space="preserve">2.4 Why class-conditional Domain Generalization</w:t>
      </w:r>
    </w:p>
    <w:p>
      <w:pPr>
        <w:spacing w:after="120" w:line="276"/>
        <w:jc w:val="left"/>
      </w:pPr>
      <w:r>
        <w:rPr>
          <w:rFonts w:ascii="Arial" w:cs="Arial" w:eastAsia="Arial" w:hAnsi="Arial"/>
          <w:b w:val="false"/>
          <w:bCs w:val="false"/>
          <w:i w:val="false"/>
          <w:iCs w:val="false"/>
          <w:sz w:val="22"/>
          <w:szCs w:val="22"/>
        </w:rPr>
        <w:t xml:space="preserve">DG learns a predictor invariant across many source domains with no target access; MegaVul's 992 natural project domains make it well suited. But invariance must be conditioned on class to be useful for SVD: we want the positive-class (vulnerability) risk — not just the aggregate risk — to be robust and invariant across projects. CC-DRO operationalises exactly this, and to our knowledge no prior SVD work does so.</w:t>
      </w:r>
    </w:p>
    <w:p>
      <w:pPr>
        <w:pStyle w:val="Heading1"/>
        <w:spacing w:after="140" w:before="260"/>
      </w:pPr>
      <w:r>
        <w:rPr>
          <w:rFonts w:ascii="Arial" w:cs="Arial" w:eastAsia="Arial" w:hAnsi="Arial"/>
          <w:b/>
          <w:bCs/>
          <w:color w:val="1F3864"/>
          <w:sz w:val="30"/>
          <w:szCs w:val="30"/>
        </w:rPr>
        <w:t xml:space="preserve">3. Research Questions</w:t>
      </w:r>
    </w:p>
    <w:p>
      <w:pPr>
        <w:pStyle w:val="ListParagraph"/>
        <w:numPr>
          <w:ilvl w:val="0"/>
          <w:numId w:val="2"/>
        </w:numPr>
        <w:spacing w:after="80" w:line="270"/>
      </w:pPr>
      <w:r>
        <w:rPr>
          <w:rFonts w:ascii="Arial" w:cs="Arial" w:eastAsia="Arial" w:hAnsi="Arial"/>
          <w:sz w:val="22"/>
          <w:szCs w:val="22"/>
        </w:rPr>
        <w:t xml:space="preserve">RQ1. Does DG (IRM, GroupDRO, or CC-DRO) improve cross-project PR-AUC over ERM fine-tuning?</w:t>
      </w:r>
    </w:p>
    <w:p>
      <w:pPr>
        <w:pStyle w:val="ListParagraph"/>
        <w:numPr>
          <w:ilvl w:val="0"/>
          <w:numId w:val="2"/>
        </w:numPr>
        <w:spacing w:after="80" w:line="270"/>
      </w:pPr>
      <w:r>
        <w:rPr>
          <w:rFonts w:ascii="Arial" w:cs="Arial" w:eastAsia="Arial" w:hAnsi="Arial"/>
          <w:sz w:val="22"/>
          <w:szCs w:val="22"/>
        </w:rPr>
        <w:t xml:space="preserve">RQ2. How does DG compare against DA baselines that have access to unlabelled target data?</w:t>
      </w:r>
    </w:p>
    <w:p>
      <w:pPr>
        <w:pStyle w:val="ListParagraph"/>
        <w:numPr>
          <w:ilvl w:val="0"/>
          <w:numId w:val="2"/>
        </w:numPr>
        <w:spacing w:after="80" w:line="270"/>
      </w:pPr>
      <w:r>
        <w:rPr>
          <w:rFonts w:ascii="Arial" w:cs="Arial" w:eastAsia="Arial" w:hAnsi="Arial"/>
          <w:sz w:val="22"/>
          <w:szCs w:val="22"/>
        </w:rPr>
        <w:t xml:space="preserve">RQ3. (Core) Does class-conditional invariance (CC-DRO) reduce the cross-project vulnerability-recall gap relative to class-blind DG (IRM, GroupDRO)?</w:t>
      </w:r>
    </w:p>
    <w:p>
      <w:pPr>
        <w:pStyle w:val="ListParagraph"/>
        <w:numPr>
          <w:ilvl w:val="0"/>
          <w:numId w:val="2"/>
        </w:numPr>
        <w:spacing w:after="80" w:line="270"/>
      </w:pPr>
      <w:r>
        <w:rPr>
          <w:rFonts w:ascii="Arial" w:cs="Arial" w:eastAsia="Arial" w:hAnsi="Arial"/>
          <w:sz w:val="22"/>
          <w:szCs w:val="22"/>
        </w:rPr>
        <w:t xml:space="preserve">RQ4. What is the trade-off between cross-project gain and seen-project performance?</w:t>
      </w:r>
    </w:p>
    <w:p>
      <w:pPr>
        <w:pStyle w:val="ListParagraph"/>
        <w:numPr>
          <w:ilvl w:val="0"/>
          <w:numId w:val="2"/>
        </w:numPr>
        <w:spacing w:after="80" w:line="270"/>
      </w:pPr>
      <w:r>
        <w:rPr>
          <w:rFonts w:ascii="Arial" w:cs="Arial" w:eastAsia="Arial" w:hAnsi="Arial"/>
          <w:sz w:val="22"/>
          <w:szCs w:val="22"/>
        </w:rPr>
        <w:t xml:space="preserve">RQ5. Does the CC-DRO gain transfer across encoder backbones (UniXcoder, GraphCodeBERT)?</w:t>
      </w:r>
    </w:p>
    <w:p>
      <w:pPr>
        <w:pStyle w:val="ListParagraph"/>
        <w:numPr>
          <w:ilvl w:val="0"/>
          <w:numId w:val="2"/>
        </w:numPr>
        <w:spacing w:after="80" w:line="270"/>
      </w:pPr>
      <w:r>
        <w:rPr>
          <w:rFonts w:ascii="Arial" w:cs="Arial" w:eastAsia="Arial" w:hAnsi="Arial"/>
          <w:sz w:val="22"/>
          <w:szCs w:val="22"/>
        </w:rPr>
        <w:t xml:space="preserve">RQ6. (Optional) How do prompted code-LLMs perform as zero-/few-shot cross-project detectors relative to fine-tuned DG?</w:t>
      </w:r>
    </w:p>
    <w:p>
      <w:pPr>
        <w:pStyle w:val="Heading1"/>
        <w:spacing w:after="140" w:before="260"/>
      </w:pPr>
      <w:r>
        <w:rPr>
          <w:rFonts w:ascii="Arial" w:cs="Arial" w:eastAsia="Arial" w:hAnsi="Arial"/>
          <w:b/>
          <w:bCs/>
          <w:color w:val="1F3864"/>
          <w:sz w:val="30"/>
          <w:szCs w:val="30"/>
        </w:rPr>
        <w:t xml:space="preserve">4. Related Work and Positioning</w:t>
      </w:r>
    </w:p>
    <w:p>
      <w:pPr>
        <w:pStyle w:val="Heading2"/>
        <w:spacing w:after="100" w:before="180"/>
      </w:pPr>
      <w:r>
        <w:rPr>
          <w:rFonts w:ascii="Arial" w:cs="Arial" w:eastAsia="Arial" w:hAnsi="Arial"/>
          <w:b/>
          <w:bCs/>
          <w:color w:val="2E5496"/>
          <w:sz w:val="25"/>
          <w:szCs w:val="25"/>
        </w:rPr>
        <w:t xml:space="preserve">4.1 Closest related work</w:t>
      </w:r>
    </w:p>
    <w:p>
      <w:pPr>
        <w:spacing w:after="120" w:line="276"/>
      </w:pPr>
      <w:r>
        <w:rPr>
          <w:rFonts w:ascii="Arial" w:cs="Arial" w:eastAsia="Arial" w:hAnsi="Arial"/>
          <w:b/>
          <w:bCs/>
          <w:i w:val="false"/>
          <w:iCs w:val="false"/>
          <w:sz w:val="22"/>
          <w:szCs w:val="22"/>
        </w:rPr>
        <w:t xml:space="preserve">CEVD (Liu, Future Internet 2026): </w:t>
      </w:r>
      <w:r>
        <w:rPr>
          <w:rFonts w:ascii="Arial" w:cs="Arial" w:eastAsia="Arial" w:hAnsi="Arial"/>
          <w:b w:val="false"/>
          <w:bCs w:val="false"/>
          <w:i w:val="false"/>
          <w:iCs w:val="false"/>
          <w:sz w:val="22"/>
          <w:szCs w:val="22"/>
        </w:rPr>
        <w:t xml:space="preserve">the closest prior work — a Domain Generalization method (not DA) that clusters code embeddings into pseudo-domains and ensembles per-domain experts fused by a domain classifier, with no target data. CrossVul-DG differs by applying explicit invariance/robustness objectives over the natural project environments, and CC-DRO further conditions the robust objective on class — which CEVD's clustering+ensembling does not. Our pseudo-domain variant reuses CEVD's clustering idea only as an auxiliary source of environments.</w:t>
      </w:r>
    </w:p>
    <w:p>
      <w:pPr>
        <w:spacing w:after="120" w:line="276"/>
      </w:pPr>
      <w:r>
        <w:rPr>
          <w:rFonts w:ascii="Arial" w:cs="Arial" w:eastAsia="Arial" w:hAnsi="Arial"/>
          <w:b/>
          <w:bCs/>
          <w:i w:val="false"/>
          <w:iCs w:val="false"/>
          <w:sz w:val="22"/>
          <w:szCs w:val="22"/>
        </w:rPr>
        <w:t xml:space="preserve">VulGate (Safdar et al., 2025): </w:t>
      </w:r>
      <w:r>
        <w:rPr>
          <w:rFonts w:ascii="Arial" w:cs="Arial" w:eastAsia="Arial" w:hAnsi="Arial"/>
          <w:b w:val="false"/>
          <w:bCs w:val="false"/>
          <w:i w:val="false"/>
          <w:iCs w:val="false"/>
          <w:sz w:val="22"/>
          <w:szCs w:val="22"/>
        </w:rPr>
        <w:t xml:space="preserve">a data-centric, orthogonal effort — a large, de-duplicated dataset (236,663 functions, with a 500-sample expert-verified cross-project test set) showing data quality and model choice strongly affect generalization. It improves the data; CrossVul-DG improves the learning objective. The two are complementary.</w:t>
      </w:r>
    </w:p>
    <w:p>
      <w:pPr>
        <w:spacing w:after="120" w:line="276"/>
        <w:jc w:val="left"/>
      </w:pPr>
      <w:r>
        <w:rPr>
          <w:rFonts w:ascii="Arial" w:cs="Arial" w:eastAsia="Arial" w:hAnsi="Arial"/>
          <w:b w:val="false"/>
          <w:bCs w:val="false"/>
          <w:i/>
          <w:iCs/>
          <w:color w:val="595959"/>
          <w:sz w:val="20"/>
          <w:szCs w:val="20"/>
        </w:rPr>
        <w:t xml:space="preserve">Note: we will verify both recent references (publication venue, year, and exact figures) against the primary sources before submission.</w:t>
      </w:r>
    </w:p>
    <w:p>
      <w:pPr>
        <w:pStyle w:val="Heading2"/>
        <w:spacing w:after="100" w:before="180"/>
      </w:pPr>
      <w:r>
        <w:rPr>
          <w:rFonts w:ascii="Arial" w:cs="Arial" w:eastAsia="Arial" w:hAnsi="Arial"/>
          <w:b/>
          <w:bCs/>
          <w:color w:val="2E5496"/>
          <w:sz w:val="25"/>
          <w:szCs w:val="25"/>
        </w:rPr>
        <w:t xml:space="preserve">4.2 SVD background</w:t>
      </w:r>
    </w:p>
    <w:p>
      <w:pPr>
        <w:pStyle w:val="ListParagraph"/>
        <w:numPr>
          <w:ilvl w:val="0"/>
          <w:numId w:val="3"/>
        </w:numPr>
        <w:spacing w:after="80" w:line="270"/>
      </w:pPr>
      <w:r>
        <w:rPr>
          <w:rFonts w:ascii="Arial" w:cs="Arial" w:eastAsia="Arial" w:hAnsi="Arial"/>
          <w:sz w:val="22"/>
          <w:szCs w:val="22"/>
        </w:rPr>
        <w:t xml:space="preserve">Sequence-based DL: VulDeePecker (NDSS 2018), µVulDeePecker.</w:t>
      </w:r>
    </w:p>
    <w:p>
      <w:pPr>
        <w:pStyle w:val="ListParagraph"/>
        <w:numPr>
          <w:ilvl w:val="0"/>
          <w:numId w:val="3"/>
        </w:numPr>
        <w:spacing w:after="80" w:line="270"/>
      </w:pPr>
      <w:r>
        <w:rPr>
          <w:rFonts w:ascii="Arial" w:cs="Arial" w:eastAsia="Arial" w:hAnsi="Arial"/>
          <w:sz w:val="22"/>
          <w:szCs w:val="22"/>
        </w:rPr>
        <w:t xml:space="preserve">Graph-based DL: Devign (NeurIPS 2019), ReVeal (Chakraborty et al. 2022).</w:t>
      </w:r>
    </w:p>
    <w:p>
      <w:pPr>
        <w:pStyle w:val="ListParagraph"/>
        <w:numPr>
          <w:ilvl w:val="0"/>
          <w:numId w:val="3"/>
        </w:numPr>
        <w:spacing w:after="80" w:line="270"/>
      </w:pPr>
      <w:r>
        <w:rPr>
          <w:rFonts w:ascii="Arial" w:cs="Arial" w:eastAsia="Arial" w:hAnsi="Arial"/>
          <w:sz w:val="22"/>
          <w:szCs w:val="22"/>
        </w:rPr>
        <w:t xml:space="preserve">Transformer-based: CodeBERT, GraphCodeBERT, UniXcoder, LineVul (MSR 2022), VulBERTa (IJCNN 2022).</w:t>
      </w:r>
    </w:p>
    <w:p>
      <w:pPr>
        <w:pStyle w:val="ListParagraph"/>
        <w:numPr>
          <w:ilvl w:val="0"/>
          <w:numId w:val="3"/>
        </w:numPr>
        <w:spacing w:after="80" w:line="270"/>
      </w:pPr>
      <w:r>
        <w:rPr>
          <w:rFonts w:ascii="Arial" w:cs="Arial" w:eastAsia="Arial" w:hAnsi="Arial"/>
          <w:sz w:val="22"/>
          <w:szCs w:val="22"/>
        </w:rPr>
        <w:t xml:space="preserve">LLM-based: VulBench (Gao et al. 2023) and prompted LLM detectors — costly and unstable across projects.</w:t>
      </w:r>
    </w:p>
    <w:p>
      <w:pPr>
        <w:pStyle w:val="Heading2"/>
        <w:spacing w:after="100" w:before="180"/>
      </w:pPr>
      <w:r>
        <w:rPr>
          <w:rFonts w:ascii="Arial" w:cs="Arial" w:eastAsia="Arial" w:hAnsi="Arial"/>
          <w:b/>
          <w:bCs/>
          <w:color w:val="2E5496"/>
          <w:sz w:val="25"/>
          <w:szCs w:val="25"/>
        </w:rPr>
        <w:t xml:space="preserve">4.3 Domain Generalization and where CC-DRO sits</w:t>
      </w:r>
    </w:p>
    <w:p>
      <w:pPr>
        <w:pStyle w:val="ListParagraph"/>
        <w:numPr>
          <w:ilvl w:val="0"/>
          <w:numId w:val="3"/>
        </w:numPr>
        <w:spacing w:after="80" w:line="270"/>
      </w:pPr>
      <w:r>
        <w:rPr>
          <w:rFonts w:ascii="Arial" w:cs="Arial" w:eastAsia="Arial" w:hAnsi="Arial"/>
          <w:sz w:val="22"/>
          <w:szCs w:val="22"/>
        </w:rPr>
        <w:t xml:space="preserve">IRM (Arjovsky et al., 2019): invariance penalty via a scalar dummy classifier.</w:t>
      </w:r>
    </w:p>
    <w:p>
      <w:pPr>
        <w:pStyle w:val="ListParagraph"/>
        <w:numPr>
          <w:ilvl w:val="0"/>
          <w:numId w:val="3"/>
        </w:numPr>
        <w:spacing w:after="80" w:line="270"/>
      </w:pPr>
      <w:r>
        <w:rPr>
          <w:rFonts w:ascii="Arial" w:cs="Arial" w:eastAsia="Arial" w:hAnsi="Arial"/>
          <w:sz w:val="22"/>
          <w:szCs w:val="22"/>
        </w:rPr>
        <w:t xml:space="preserve">GroupDRO (Sagawa et al., ICLR 2020): worst-case group risk with exponentiated-gradient updates.</w:t>
      </w:r>
    </w:p>
    <w:p>
      <w:pPr>
        <w:pStyle w:val="ListParagraph"/>
        <w:numPr>
          <w:ilvl w:val="0"/>
          <w:numId w:val="3"/>
        </w:numPr>
        <w:spacing w:after="80" w:line="270"/>
      </w:pPr>
      <w:r>
        <w:rPr>
          <w:rFonts w:ascii="Arial" w:cs="Arial" w:eastAsia="Arial" w:hAnsi="Arial"/>
          <w:sz w:val="22"/>
          <w:szCs w:val="22"/>
        </w:rPr>
        <w:t xml:space="preserve">Fish (Shi et al., ICLR 2022): gradient matching across domains.</w:t>
      </w:r>
    </w:p>
    <w:p>
      <w:pPr>
        <w:pStyle w:val="ListParagraph"/>
        <w:numPr>
          <w:ilvl w:val="0"/>
          <w:numId w:val="3"/>
        </w:numPr>
        <w:spacing w:after="80" w:line="270"/>
      </w:pPr>
      <w:r>
        <w:rPr>
          <w:rFonts w:ascii="Arial" w:cs="Arial" w:eastAsia="Arial" w:hAnsi="Arial"/>
          <w:sz w:val="22"/>
          <w:szCs w:val="22"/>
        </w:rPr>
        <w:t xml:space="preserve">Surveys: Zhou et al. (TPAMI 2023), Wang et al. (TKDE 2023) note DG's limited adoption in software engineering.</w:t>
      </w:r>
    </w:p>
    <w:p>
      <w:pPr>
        <w:spacing w:after="120" w:line="276"/>
      </w:pPr>
      <w:r>
        <w:rPr>
          <w:rFonts w:ascii="Arial" w:cs="Arial" w:eastAsia="Arial" w:hAnsi="Arial"/>
          <w:b/>
          <w:bCs/>
          <w:i w:val="false"/>
          <w:iCs w:val="false"/>
          <w:sz w:val="22"/>
          <w:szCs w:val="22"/>
        </w:rPr>
        <w:t xml:space="preserve">Positioning of CC-DRO: </w:t>
      </w:r>
      <w:r>
        <w:rPr>
          <w:rFonts w:ascii="Arial" w:cs="Arial" w:eastAsia="Arial" w:hAnsi="Arial"/>
          <w:b w:val="false"/>
          <w:bCs w:val="false"/>
          <w:i w:val="false"/>
          <w:iCs w:val="false"/>
          <w:sz w:val="22"/>
          <w:szCs w:val="22"/>
        </w:rPr>
        <w:t xml:space="preserve">every method above defines groups/environments by domain only. CC-DRO defines groups by (domain × class) and adds a positive-class risk-invariance penalty, making it the first class-conditional robust DG objective applied to imbalanced cross-project SVD.</w:t>
      </w:r>
    </w:p>
    <w:p>
      <w:pPr>
        <w:pStyle w:val="Heading1"/>
        <w:spacing w:after="140" w:before="260"/>
      </w:pPr>
      <w:r>
        <w:rPr>
          <w:rFonts w:ascii="Arial" w:cs="Arial" w:eastAsia="Arial" w:hAnsi="Arial"/>
          <w:b/>
          <w:bCs/>
          <w:color w:val="1F3864"/>
          <w:sz w:val="30"/>
          <w:szCs w:val="30"/>
        </w:rPr>
        <w:t xml:space="preserve">5. Methodology</w:t>
      </w:r>
    </w:p>
    <w:p>
      <w:pPr>
        <w:pStyle w:val="Heading2"/>
        <w:spacing w:after="100" w:before="180"/>
      </w:pPr>
      <w:r>
        <w:rPr>
          <w:rFonts w:ascii="Arial" w:cs="Arial" w:eastAsia="Arial" w:hAnsi="Arial"/>
          <w:b/>
          <w:bCs/>
          <w:color w:val="2E5496"/>
          <w:sz w:val="25"/>
          <w:szCs w:val="25"/>
        </w:rPr>
        <w:t xml:space="preserve">5.1 Data — MegaVul</w:t>
      </w:r>
    </w:p>
    <w:p>
      <w:pPr>
        <w:spacing w:after="120" w:line="276"/>
        <w:jc w:val="left"/>
      </w:pPr>
      <w:r>
        <w:rPr>
          <w:rFonts w:ascii="Arial" w:cs="Arial" w:eastAsia="Arial" w:hAnsi="Arial"/>
          <w:b w:val="false"/>
          <w:bCs w:val="false"/>
          <w:i w:val="false"/>
          <w:iCs w:val="false"/>
          <w:sz w:val="22"/>
          <w:szCs w:val="22"/>
        </w:rPr>
        <w:t xml:space="preserve">MegaVul (MSR 2024) is a large real-world C/C++ vulnerability dataset: 17,380 vulnerabilities across 169 CWE types disclosed 2006–2023, drawn from 992 open-source repositories; the released function-level data comprises ≈17,000 vulnerable and ≈320,000 non-vulnerable functions with CVE identifiers and commit timestamps. We select the top-10 projects by function count as LOPO environments; the exact post-deduplication share is computed by prepare_data.py.</w:t>
      </w:r>
    </w:p>
    <w:p>
      <w:pPr>
        <w:spacing w:after="120" w:line="276"/>
      </w:pPr>
      <w:r>
        <w:rPr>
          <w:rFonts w:ascii="Arial" w:cs="Arial" w:eastAsia="Arial" w:hAnsi="Arial"/>
          <w:b/>
          <w:bCs/>
          <w:i w:val="false"/>
          <w:iCs w:val="false"/>
          <w:sz w:val="22"/>
          <w:szCs w:val="22"/>
        </w:rPr>
        <w:t xml:space="preserve">Splitting policy. </w:t>
      </w:r>
      <w:r>
        <w:rPr>
          <w:rFonts w:ascii="Arial" w:cs="Arial" w:eastAsia="Arial" w:hAnsi="Arial"/>
          <w:b w:val="false"/>
          <w:bCs w:val="false"/>
          <w:i w:val="false"/>
          <w:iCs w:val="false"/>
          <w:sz w:val="22"/>
          <w:szCs w:val="22"/>
        </w:rPr>
        <w:t xml:space="preserve">A chronological 8:1:1 train/val/test split over the pooled top-10 projects sorted by commit_date (cut at time quantiles 0.8 and 0.9, not by calendar year). Mild per-project imbalance is expected and reported as a threat. For DG evaluation we use leave-one-project-out (LOPO). The class ratio is kept at its natural ≈1:19 — we do not re-balance the data.</w:t>
      </w:r>
    </w:p>
    <w:p>
      <w:pPr>
        <w:pStyle w:val="Heading2"/>
        <w:spacing w:after="100" w:before="180"/>
      </w:pPr>
      <w:r>
        <w:rPr>
          <w:rFonts w:ascii="Arial" w:cs="Arial" w:eastAsia="Arial" w:hAnsi="Arial"/>
          <w:b/>
          <w:bCs/>
          <w:color w:val="2E5496"/>
          <w:sz w:val="25"/>
          <w:szCs w:val="25"/>
        </w:rPr>
        <w:t xml:space="preserve">5.2 Imbalanced-setting protocol (applied identically to every method)</w:t>
      </w:r>
    </w:p>
    <w:p>
      <w:pPr>
        <w:spacing w:after="120" w:line="276"/>
        <w:jc w:val="left"/>
      </w:pPr>
      <w:r>
        <w:rPr>
          <w:rFonts w:ascii="Arial" w:cs="Arial" w:eastAsia="Arial" w:hAnsi="Arial"/>
          <w:b w:val="false"/>
          <w:bCs w:val="false"/>
          <w:i w:val="false"/>
          <w:iCs w:val="false"/>
          <w:sz w:val="22"/>
          <w:szCs w:val="22"/>
        </w:rPr>
        <w:t xml:space="preserve">To keep the ≈1:19 setting fair across methods, all methods share:</w:t>
      </w:r>
    </w:p>
    <w:p>
      <w:pPr>
        <w:pStyle w:val="ListParagraph"/>
        <w:numPr>
          <w:ilvl w:val="0"/>
          <w:numId w:val="3"/>
        </w:numPr>
        <w:spacing w:after="80" w:line="270"/>
      </w:pPr>
      <w:r>
        <w:rPr>
          <w:rFonts w:ascii="Arial" w:cs="Arial" w:eastAsia="Arial" w:hAnsi="Arial"/>
          <w:b/>
          <w:bCs/>
          <w:sz w:val="22"/>
          <w:szCs w:val="22"/>
        </w:rPr>
        <w:t xml:space="preserve">Weighted BCE</w:t>
      </w:r>
      <w:r>
        <w:rPr>
          <w:rFonts w:ascii="Arial" w:cs="Arial" w:eastAsia="Arial" w:hAnsi="Arial"/>
          <w:sz w:val="22"/>
          <w:szCs w:val="22"/>
        </w:rPr>
        <w:t xml:space="preserve"> with pos_weight = N_neg/N_pos on the training fold (capped for stability) so optimisation does not collapse to the safe class.</w:t>
      </w:r>
    </w:p>
    <w:p>
      <w:pPr>
        <w:pStyle w:val="ListParagraph"/>
        <w:numPr>
          <w:ilvl w:val="0"/>
          <w:numId w:val="3"/>
        </w:numPr>
        <w:spacing w:after="80" w:line="270"/>
      </w:pPr>
      <w:r>
        <w:rPr>
          <w:rFonts w:ascii="Arial" w:cs="Arial" w:eastAsia="Arial" w:hAnsi="Arial"/>
          <w:b/>
          <w:bCs/>
          <w:sz w:val="22"/>
          <w:szCs w:val="22"/>
        </w:rPr>
        <w:t xml:space="preserve">Model selection on validation PR-AUC</w:t>
      </w:r>
      <w:r>
        <w:rPr>
          <w:rFonts w:ascii="Arial" w:cs="Arial" w:eastAsia="Arial" w:hAnsi="Arial"/>
          <w:sz w:val="22"/>
          <w:szCs w:val="22"/>
        </w:rPr>
        <w:t xml:space="preserve"> (threshold-free; validation-F1 at a fixed 0.5 threshold is unreliable under imbalance).</w:t>
      </w:r>
    </w:p>
    <w:p>
      <w:pPr>
        <w:pStyle w:val="ListParagraph"/>
        <w:numPr>
          <w:ilvl w:val="0"/>
          <w:numId w:val="3"/>
        </w:numPr>
        <w:spacing w:after="80" w:line="270"/>
      </w:pPr>
      <w:r>
        <w:rPr>
          <w:rFonts w:ascii="Arial" w:cs="Arial" w:eastAsia="Arial" w:hAnsi="Arial"/>
          <w:b/>
          <w:bCs/>
          <w:sz w:val="22"/>
          <w:szCs w:val="22"/>
        </w:rPr>
        <w:t xml:space="preserve">Decision threshold tuned on validation</w:t>
      </w:r>
      <w:r>
        <w:rPr>
          <w:rFonts w:ascii="Arial" w:cs="Arial" w:eastAsia="Arial" w:hAnsi="Arial"/>
          <w:sz w:val="22"/>
          <w:szCs w:val="22"/>
        </w:rPr>
        <w:t xml:space="preserve"> (max-F1), then applied unchanged at test — no test-set peeking.</w:t>
      </w:r>
    </w:p>
    <w:p>
      <w:pPr>
        <w:pStyle w:val="ListParagraph"/>
        <w:numPr>
          <w:ilvl w:val="0"/>
          <w:numId w:val="3"/>
        </w:numPr>
        <w:spacing w:after="80" w:line="270"/>
      </w:pPr>
      <w:r>
        <w:rPr>
          <w:rFonts w:ascii="Arial" w:cs="Arial" w:eastAsia="Arial" w:hAnsi="Arial"/>
          <w:b/>
          <w:bCs/>
          <w:sz w:val="22"/>
          <w:szCs w:val="22"/>
        </w:rPr>
        <w:t xml:space="preserve">Primary metric: PR-AUC.</w:t>
      </w:r>
      <w:r>
        <w:rPr>
          <w:rFonts w:ascii="Arial" w:cs="Arial" w:eastAsia="Arial" w:hAnsi="Arial"/>
          <w:sz w:val="22"/>
          <w:szCs w:val="22"/>
        </w:rPr>
        <w:t xml:space="preserve"> Also reported: F1 at the tuned threshold, recall at precision ≥ 0.5, and worst-project F1 (robustness).</w:t>
      </w:r>
    </w:p>
    <w:p>
      <w:pPr>
        <w:pStyle w:val="ListParagraph"/>
        <w:numPr>
          <w:ilvl w:val="0"/>
          <w:numId w:val="3"/>
        </w:numPr>
        <w:spacing w:after="80" w:line="270"/>
      </w:pPr>
      <w:r>
        <w:rPr>
          <w:rFonts w:ascii="Arial" w:cs="Arial" w:eastAsia="Arial" w:hAnsi="Arial"/>
          <w:b/>
          <w:bCs/>
          <w:sz w:val="22"/>
          <w:szCs w:val="22"/>
        </w:rPr>
        <w:t xml:space="preserve">DA target ≠ test set.</w:t>
      </w:r>
      <w:r>
        <w:rPr>
          <w:rFonts w:ascii="Arial" w:cs="Arial" w:eastAsia="Arial" w:hAnsi="Arial"/>
          <w:sz w:val="22"/>
          <w:szCs w:val="22"/>
        </w:rPr>
        <w:t xml:space="preserve"> DA baselines use the chronologically-earlier portion of the held-out project as the unlabelled target; all methods are scored on the later portion. This removes the transductive leakage of training DA on the very functions being scored.</w:t>
      </w:r>
    </w:p>
    <w:p>
      <w:pPr>
        <w:pStyle w:val="Heading2"/>
        <w:spacing w:after="100" w:before="180"/>
      </w:pPr>
      <w:r>
        <w:rPr>
          <w:rFonts w:ascii="Arial" w:cs="Arial" w:eastAsia="Arial" w:hAnsi="Arial"/>
          <w:b/>
          <w:bCs/>
          <w:color w:val="2E5496"/>
          <w:sz w:val="25"/>
          <w:szCs w:val="25"/>
        </w:rPr>
        <w:t xml:space="preserve">5.3 Models and methods</w:t>
      </w:r>
    </w:p>
    <w:p>
      <w:pPr>
        <w:pStyle w:val="ListParagraph"/>
        <w:numPr>
          <w:ilvl w:val="0"/>
          <w:numId w:val="3"/>
        </w:numPr>
        <w:spacing w:after="80" w:line="270"/>
      </w:pPr>
      <w:r>
        <w:rPr>
          <w:rFonts w:ascii="Arial" w:cs="Arial" w:eastAsia="Arial" w:hAnsi="Arial"/>
          <w:b/>
          <w:bCs/>
          <w:sz w:val="22"/>
          <w:szCs w:val="22"/>
        </w:rPr>
        <w:t xml:space="preserve">Backbones:</w:t>
      </w:r>
      <w:r>
        <w:rPr>
          <w:rFonts w:ascii="Arial" w:cs="Arial" w:eastAsia="Arial" w:hAnsi="Arial"/>
          <w:sz w:val="22"/>
          <w:szCs w:val="22"/>
        </w:rPr>
        <w:t xml:space="preserve"> CodeBERT (Tier 1, main); UniXcoder and GraphCodeBERT (Tier 2, generality). All wrapped by a shared 2-layer MLP head on the first-token (CLS) representation.</w:t>
      </w:r>
    </w:p>
    <w:p>
      <w:pPr>
        <w:pStyle w:val="ListParagraph"/>
        <w:numPr>
          <w:ilvl w:val="0"/>
          <w:numId w:val="3"/>
        </w:numPr>
        <w:spacing w:after="80" w:line="270"/>
      </w:pPr>
      <w:r>
        <w:rPr>
          <w:rFonts w:ascii="Arial" w:cs="Arial" w:eastAsia="Arial" w:hAnsi="Arial"/>
          <w:b/>
          <w:bCs/>
          <w:sz w:val="22"/>
          <w:szCs w:val="22"/>
        </w:rPr>
        <w:t xml:space="preserve">ERM-FT</w:t>
      </w:r>
      <w:r>
        <w:rPr>
          <w:rFonts w:ascii="Arial" w:cs="Arial" w:eastAsia="Arial" w:hAnsi="Arial"/>
          <w:sz w:val="22"/>
          <w:szCs w:val="22"/>
        </w:rPr>
        <w:t xml:space="preserve"> (baseline): standard fine-tuning, ignores project labels.</w:t>
      </w:r>
    </w:p>
    <w:p>
      <w:pPr>
        <w:pStyle w:val="ListParagraph"/>
        <w:numPr>
          <w:ilvl w:val="0"/>
          <w:numId w:val="3"/>
        </w:numPr>
        <w:spacing w:after="80" w:line="270"/>
      </w:pPr>
      <w:r>
        <w:rPr>
          <w:rFonts w:ascii="Arial" w:cs="Arial" w:eastAsia="Arial" w:hAnsi="Arial"/>
          <w:b/>
          <w:bCs/>
          <w:sz w:val="22"/>
          <w:szCs w:val="22"/>
        </w:rPr>
        <w:t xml:space="preserve">DA-CORAL, DA-DANN</w:t>
      </w:r>
      <w:r>
        <w:rPr>
          <w:rFonts w:ascii="Arial" w:cs="Arial" w:eastAsia="Arial" w:hAnsi="Arial"/>
          <w:sz w:val="22"/>
          <w:szCs w:val="22"/>
        </w:rPr>
        <w:t xml:space="preserve"> (DA baselines): use unlabelled target data; included to test whether DG can match DA.</w:t>
      </w:r>
    </w:p>
    <w:p>
      <w:pPr>
        <w:pStyle w:val="ListParagraph"/>
        <w:numPr>
          <w:ilvl w:val="0"/>
          <w:numId w:val="3"/>
        </w:numPr>
        <w:spacing w:after="80" w:line="270"/>
      </w:pPr>
      <w:r>
        <w:rPr>
          <w:rFonts w:ascii="Arial" w:cs="Arial" w:eastAsia="Arial" w:hAnsi="Arial"/>
          <w:b/>
          <w:bCs/>
          <w:sz w:val="22"/>
          <w:szCs w:val="22"/>
        </w:rPr>
        <w:t xml:space="preserve">IRM, GroupDRO</w:t>
      </w:r>
      <w:r>
        <w:rPr>
          <w:rFonts w:ascii="Arial" w:cs="Arial" w:eastAsia="Arial" w:hAnsi="Arial"/>
          <w:sz w:val="22"/>
          <w:szCs w:val="22"/>
        </w:rPr>
        <w:t xml:space="preserve"> (class-blind DG): invariance and worst-case-project robustness.</w:t>
      </w:r>
    </w:p>
    <w:p>
      <w:pPr>
        <w:pStyle w:val="ListParagraph"/>
        <w:numPr>
          <w:ilvl w:val="0"/>
          <w:numId w:val="3"/>
        </w:numPr>
        <w:spacing w:after="80" w:line="270"/>
      </w:pPr>
      <w:r>
        <w:rPr>
          <w:rFonts w:ascii="Arial" w:cs="Arial" w:eastAsia="Arial" w:hAnsi="Arial"/>
          <w:b/>
          <w:bCs/>
          <w:sz w:val="22"/>
          <w:szCs w:val="22"/>
        </w:rPr>
        <w:t xml:space="preserve">CC-DRO</w:t>
      </w:r>
      <w:r>
        <w:rPr>
          <w:rFonts w:ascii="Arial" w:cs="Arial" w:eastAsia="Arial" w:hAnsi="Arial"/>
          <w:sz w:val="22"/>
          <w:szCs w:val="22"/>
        </w:rPr>
        <w:t xml:space="preserve"> (proposed): class-conditional DRO + positive-class risk invariance.</w:t>
      </w:r>
    </w:p>
    <w:p>
      <w:pPr>
        <w:pStyle w:val="ListParagraph"/>
        <w:numPr>
          <w:ilvl w:val="0"/>
          <w:numId w:val="3"/>
        </w:numPr>
        <w:spacing w:after="80" w:line="270"/>
      </w:pPr>
      <w:r>
        <w:rPr>
          <w:rFonts w:ascii="Arial" w:cs="Arial" w:eastAsia="Arial" w:hAnsi="Arial"/>
          <w:b/>
          <w:bCs/>
          <w:sz w:val="22"/>
          <w:szCs w:val="22"/>
        </w:rPr>
        <w:t xml:space="preserve">PD+DRO</w:t>
      </w:r>
      <w:r>
        <w:rPr>
          <w:rFonts w:ascii="Arial" w:cs="Arial" w:eastAsia="Arial" w:hAnsi="Arial"/>
          <w:sz w:val="22"/>
          <w:szCs w:val="22"/>
        </w:rPr>
        <w:t xml:space="preserve"> (long-tail extension): pseudo-domains from k-means over tail-project embeddings, then GroupDRO.</w:t>
      </w:r>
    </w:p>
    <w:p>
      <w:pPr>
        <w:pStyle w:val="Heading2"/>
        <w:spacing w:after="100" w:before="180"/>
      </w:pPr>
      <w:r>
        <w:rPr>
          <w:rFonts w:ascii="Arial" w:cs="Arial" w:eastAsia="Arial" w:hAnsi="Arial"/>
          <w:b/>
          <w:bCs/>
          <w:color w:val="2E5496"/>
          <w:sz w:val="25"/>
          <w:szCs w:val="25"/>
        </w:rPr>
        <w:t xml:space="preserve">5.4 CC-DRO: the proposed objective</w:t>
      </w:r>
    </w:p>
    <w:p>
      <w:pPr>
        <w:spacing w:after="120" w:line="276"/>
        <w:jc w:val="left"/>
      </w:pPr>
      <w:r>
        <w:rPr>
          <w:rFonts w:ascii="Arial" w:cs="Arial" w:eastAsia="Arial" w:hAnsi="Arial"/>
          <w:b w:val="false"/>
          <w:bCs w:val="false"/>
          <w:i w:val="false"/>
          <w:iCs w:val="false"/>
          <w:sz w:val="22"/>
          <w:szCs w:val="22"/>
        </w:rPr>
        <w:t xml:space="preserve">Let the K source projects each provide labelled functions with binary labels y ∈ {0,1}. CC-DRO replaces project-level groups with (project × class) cells (2K cells) and runs GroupDRO over these cells, then adds a penalty equal to the variance, across projects, of the positive-class risk. Per optimisation step:</w:t>
      </w:r>
    </w:p>
    <w:p>
      <w:pPr>
        <w:shd w:fill="F2F2F2" w:val="clear"/>
        <w:spacing w:after="100" w:line="264"/>
      </w:pPr>
      <w:r>
        <w:rPr>
          <w:rFonts w:ascii="Consolas" w:cs="Consolas" w:eastAsia="Consolas" w:hAnsi="Consolas"/>
          <w:sz w:val="19"/>
          <w:szCs w:val="19"/>
        </w:rPr>
        <w:t xml:space="preserve">L = Σ_g q_g · R_g  +  λ_inv · Var_p( R_{p,pos} )</w:t>
      </w:r>
    </w:p>
    <w:p>
      <w:pPr>
        <w:spacing w:after="120" w:line="276"/>
        <w:jc w:val="left"/>
      </w:pPr>
      <w:r>
        <w:rPr>
          <w:rFonts w:ascii="Arial" w:cs="Arial" w:eastAsia="Arial" w:hAnsi="Arial"/>
          <w:b w:val="false"/>
          <w:bCs w:val="false"/>
          <w:i w:val="false"/>
          <w:iCs w:val="false"/>
          <w:sz w:val="22"/>
          <w:szCs w:val="22"/>
        </w:rPr>
        <w:t xml:space="preserve">where g ranges over the (project × class) cells present in the step, q are exponentiated-gradient DRO weights over cells, and R_{p,pos} is project p's mean (pos_weight-scaled) loss on its positive samples. Minimising the worst-case cell risk forces attention onto the hardest (project, vulnerable) cells; minimising the positive-risk variance forces vulnerability sensitivity to be consistent across projects. Cells absent from a mini-batch are simply omitted that step (rare-positive projects may yield no positives in a small batch); the penalty is applied when ≥2 projects contribute positives. λ_inv is ramped after a short warm-up. Algorithm and full equations are in Appendix A.</w:t>
      </w:r>
    </w:p>
    <w:p>
      <w:pPr>
        <w:pStyle w:val="Heading2"/>
        <w:spacing w:after="100" w:before="180"/>
      </w:pPr>
      <w:r>
        <w:rPr>
          <w:rFonts w:ascii="Arial" w:cs="Arial" w:eastAsia="Arial" w:hAnsi="Arial"/>
          <w:b/>
          <w:bCs/>
          <w:color w:val="2E5496"/>
          <w:sz w:val="25"/>
          <w:szCs w:val="25"/>
        </w:rPr>
        <w:t xml:space="preserve">5.5 Evaluation protocol</w:t>
      </w:r>
    </w:p>
    <w:p>
      <w:pPr>
        <w:pStyle w:val="ListParagraph"/>
        <w:numPr>
          <w:ilvl w:val="0"/>
          <w:numId w:val="3"/>
        </w:numPr>
        <w:spacing w:after="80" w:line="270"/>
      </w:pPr>
      <w:r>
        <w:rPr>
          <w:rFonts w:ascii="Arial" w:cs="Arial" w:eastAsia="Arial" w:hAnsi="Arial"/>
          <w:sz w:val="22"/>
          <w:szCs w:val="22"/>
        </w:rPr>
        <w:t xml:space="preserve">Leave-one-project-out over the top-10 projects = 10 folds.</w:t>
      </w:r>
    </w:p>
    <w:p>
      <w:pPr>
        <w:pStyle w:val="ListParagraph"/>
        <w:numPr>
          <w:ilvl w:val="0"/>
          <w:numId w:val="3"/>
        </w:numPr>
        <w:spacing w:after="80" w:line="270"/>
      </w:pPr>
      <w:r>
        <w:rPr>
          <w:rFonts w:ascii="Arial" w:cs="Arial" w:eastAsia="Arial" w:hAnsi="Arial"/>
          <w:sz w:val="22"/>
          <w:szCs w:val="22"/>
        </w:rPr>
        <w:t xml:space="preserve">Three random seeds (0, 1, 2) per (method × fold) in Tier 1; two seeds in Tier 2.</w:t>
      </w:r>
    </w:p>
    <w:p>
      <w:pPr>
        <w:pStyle w:val="ListParagraph"/>
        <w:numPr>
          <w:ilvl w:val="0"/>
          <w:numId w:val="3"/>
        </w:numPr>
        <w:spacing w:after="80" w:line="270"/>
      </w:pPr>
      <w:r>
        <w:rPr>
          <w:rFonts w:ascii="Arial" w:cs="Arial" w:eastAsia="Arial" w:hAnsi="Arial"/>
          <w:sz w:val="22"/>
          <w:szCs w:val="22"/>
        </w:rPr>
        <w:t xml:space="preserve">Metrics: PR-AUC (primary), F1@tuned-threshold, recall@precision≥0.5, ROC-AUC, and worst-project F1. Per-project breakdown to surface variance hidden by averaging.</w:t>
      </w:r>
    </w:p>
    <w:p>
      <w:pPr>
        <w:pStyle w:val="ListParagraph"/>
        <w:numPr>
          <w:ilvl w:val="0"/>
          <w:numId w:val="3"/>
        </w:numPr>
        <w:spacing w:after="80" w:line="270"/>
      </w:pPr>
      <w:r>
        <w:rPr>
          <w:rFonts w:ascii="Arial" w:cs="Arial" w:eastAsia="Arial" w:hAnsi="Arial"/>
          <w:sz w:val="22"/>
          <w:szCs w:val="22"/>
        </w:rPr>
        <w:t xml:space="preserve">Significance: paired Wilcoxon signed-rank test over the 10 folds (per-fold value averaged over seeds), comparing each method to ERM and CC-DRO to GroupDRO; threshold p &lt; 0.05.</w:t>
      </w:r>
    </w:p>
    <w:p>
      <w:pPr>
        <w:pStyle w:val="Heading2"/>
        <w:spacing w:after="100" w:before="180"/>
      </w:pPr>
      <w:r>
        <w:rPr>
          <w:rFonts w:ascii="Arial" w:cs="Arial" w:eastAsia="Arial" w:hAnsi="Arial"/>
          <w:b/>
          <w:bCs/>
          <w:color w:val="2E5496"/>
          <w:sz w:val="25"/>
          <w:szCs w:val="25"/>
        </w:rPr>
        <w:t xml:space="preserve">5.6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Setting</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Default</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Notes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Encoder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CodeBERT-base</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2: UniXcoder-base, GraphCodeBERT-base</w:t>
            </w:r>
          </w:p>
        </w:tc>
      </w:tr>
      <w:tr>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Max length</w:t>
            </w:r>
          </w:p>
        </w:tc>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512</w:t>
            </w:r>
          </w:p>
        </w:tc>
        <w:tc>
          <w:tcPr>
            <w:tcW w:type="dxa" w:w="45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function tokens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Batch size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32 per env</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DG methods sample one batch per env per step</w:t>
            </w:r>
          </w:p>
        </w:tc>
      </w:tr>
      <w:tr>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Learning rate</w:t>
            </w:r>
          </w:p>
        </w:tc>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2e-5</w:t>
            </w:r>
          </w:p>
        </w:tc>
        <w:tc>
          <w:tcPr>
            <w:tcW w:type="dxa" w:w="45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AdamW, weight_decay = 1e-2</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Epochs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early stop on val PR-AUC (patience 3)</w:t>
            </w:r>
          </w:p>
        </w:tc>
      </w:tr>
      <w:tr>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pos_weight</w:t>
            </w:r>
          </w:p>
        </w:tc>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N_neg/N_pos</w:t>
            </w:r>
          </w:p>
        </w:tc>
        <w:tc>
          <w:tcPr>
            <w:tcW w:type="dxa" w:w="45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per training fold, capped at 50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IRM λmax</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ramped after 1-epoch warm-up</w:t>
            </w:r>
          </w:p>
        </w:tc>
      </w:tr>
      <w:tr>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GroupDRO ηq</w:t>
            </w:r>
          </w:p>
        </w:tc>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0.01</w:t>
            </w:r>
          </w:p>
        </w:tc>
        <w:tc>
          <w:tcPr>
            <w:tcW w:type="dxa" w:w="45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exp-gradient LR on group weights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CC-DRO λinv</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1.0</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ramped after 1-epoch warm-up; ablated in {0,0.1,1,10}</w:t>
            </w:r>
          </w:p>
        </w:tc>
      </w:tr>
      <w:tr>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CC-DRO ηq</w:t>
            </w:r>
          </w:p>
        </w:tc>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0.01</w:t>
            </w:r>
          </w:p>
        </w:tc>
        <w:tc>
          <w:tcPr>
            <w:tcW w:type="dxa" w:w="45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exp-gradient LR over (project × class) cells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Pseudo-domains C</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5</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k-means over tail-project embeddings</w:t>
            </w:r>
          </w:p>
        </w:tc>
      </w:tr>
      <w:tr>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Seeds</w:t>
            </w:r>
          </w:p>
        </w:tc>
        <w:tc>
          <w:tcPr>
            <w:tcW w:type="dxa" w:w="24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0, 1, 2</w:t>
            </w:r>
          </w:p>
        </w:tc>
        <w:tc>
          <w:tcPr>
            <w:tcW w:type="dxa" w:w="45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report mean ± std</w:t>
            </w:r>
          </w:p>
        </w:tc>
      </w:tr>
    </w:tbl>
    <w:p>
      <w:pPr>
        <w:pStyle w:val="Heading1"/>
        <w:spacing w:after="140" w:before="260"/>
      </w:pPr>
      <w:r>
        <w:rPr>
          <w:rFonts w:ascii="Arial" w:cs="Arial" w:eastAsia="Arial" w:hAnsi="Arial"/>
          <w:b/>
          <w:bCs/>
          <w:color w:val="1F3864"/>
          <w:sz w:val="30"/>
          <w:szCs w:val="30"/>
        </w:rPr>
        <w:t xml:space="preserve">6. Detailed Experimental Procedures</w:t>
      </w:r>
    </w:p>
    <w:p>
      <w:pPr>
        <w:spacing w:after="120" w:line="276"/>
        <w:jc w:val="left"/>
      </w:pPr>
      <w:r>
        <w:rPr>
          <w:rFonts w:ascii="Arial" w:cs="Arial" w:eastAsia="Arial" w:hAnsi="Arial"/>
          <w:b w:val="false"/>
          <w:bCs w:val="false"/>
          <w:i w:val="false"/>
          <w:iCs w:val="false"/>
          <w:sz w:val="22"/>
          <w:szCs w:val="22"/>
        </w:rPr>
        <w:t xml:space="preserve">All experiments run from the released repository. Step 0 (once): obtain MegaVul and preprocess.</w:t>
      </w:r>
    </w:p>
    <w:p>
      <w:pPr>
        <w:shd w:fill="F2F2F2" w:val="clear"/>
        <w:spacing w:after="100" w:line="264"/>
      </w:pPr>
      <w:r>
        <w:rPr>
          <w:rFonts w:ascii="Consolas" w:cs="Consolas" w:eastAsia="Consolas" w:hAnsi="Consolas"/>
          <w:sz w:val="19"/>
          <w:szCs w:val="19"/>
        </w:rPr>
        <w:t xml:space="preserve">python scripts/prepare_data.py --raw_dir data/megavul_raw \
    --out_dir data/processed --top_k 10 \
    --train_ratio 0.8 --val_ratio 0.1 --test_ratio 0.1 --dedup</w:t>
      </w:r>
    </w:p>
    <w:p>
      <w:pPr>
        <w:spacing w:after="120" w:line="276"/>
        <w:jc w:val="left"/>
      </w:pPr>
      <w:r>
        <w:rPr>
          <w:rFonts w:ascii="Arial" w:cs="Arial" w:eastAsia="Arial" w:hAnsi="Arial"/>
          <w:b w:val="false"/>
          <w:bCs w:val="false"/>
          <w:i w:val="false"/>
          <w:iCs w:val="false"/>
          <w:sz w:val="22"/>
          <w:szCs w:val="22"/>
        </w:rPr>
        <w:t xml:space="preserve">This writes top10.parquet, tail.parquet, and splits.json. Confirm the printed per-project counts and fill Table I of the paper before any run.</w:t>
      </w:r>
    </w:p>
    <w:p>
      <w:pPr>
        <w:pStyle w:val="Heading2"/>
        <w:spacing w:after="100" w:before="180"/>
      </w:pPr>
      <w:r>
        <w:rPr>
          <w:rFonts w:ascii="Arial" w:cs="Arial" w:eastAsia="Arial" w:hAnsi="Arial"/>
          <w:b/>
          <w:bCs/>
          <w:color w:val="2E5496"/>
          <w:sz w:val="25"/>
          <w:szCs w:val="25"/>
        </w:rPr>
        <w:t xml:space="preserve">6.1 Tier 1 — main results (answers RQ1–RQ4)</w:t>
      </w:r>
    </w:p>
    <w:p>
      <w:pPr>
        <w:spacing w:after="120" w:line="276"/>
        <w:jc w:val="left"/>
      </w:pPr>
      <w:r>
        <w:rPr>
          <w:rFonts w:ascii="Arial" w:cs="Arial" w:eastAsia="Arial" w:hAnsi="Arial"/>
          <w:b w:val="false"/>
          <w:bCs w:val="false"/>
          <w:i w:val="false"/>
          <w:iCs w:val="false"/>
          <w:sz w:val="22"/>
          <w:szCs w:val="22"/>
        </w:rPr>
        <w:t xml:space="preserve">CodeBERT × {erm, da-coral, da-dann, irm, dro, cc-dro, pd-dro} × 10 folds × 3 seeds = 210 runs.</w:t>
      </w:r>
    </w:p>
    <w:p>
      <w:pPr>
        <w:shd w:fill="F2F2F2" w:val="clear"/>
        <w:spacing w:after="100" w:line="264"/>
      </w:pPr>
      <w:r>
        <w:rPr>
          <w:rFonts w:ascii="Consolas" w:cs="Consolas" w:eastAsia="Consolas" w:hAnsi="Consolas"/>
          <w:sz w:val="19"/>
          <w:szCs w:val="19"/>
        </w:rPr>
        <w:t xml:space="preserve">bash scripts/run_full_sweep.sh</w:t>
      </w:r>
    </w:p>
    <w:p>
      <w:pPr>
        <w:spacing w:after="120" w:line="276"/>
        <w:jc w:val="left"/>
      </w:pPr>
      <w:r>
        <w:rPr>
          <w:rFonts w:ascii="Arial" w:cs="Arial" w:eastAsia="Arial" w:hAnsi="Arial"/>
          <w:b w:val="false"/>
          <w:bCs w:val="false"/>
          <w:i w:val="false"/>
          <w:iCs w:val="false"/>
          <w:sz w:val="22"/>
          <w:szCs w:val="22"/>
        </w:rPr>
        <w:t xml:space="preserve">Each run trains with the shared imbalanced protocol, tunes the threshold on val, and writes runs/codebert/&lt;method&gt;/&lt;project&gt;/seed&lt;k&gt;/results.json containing PR-AUC, F1@thr, recall@P50, ROC-AUC, the tuned threshold, and the per-project breakdown. A single fold can be launched directly for debugging:</w:t>
      </w:r>
    </w:p>
    <w:p>
      <w:pPr>
        <w:shd w:fill="F2F2F2" w:val="clear"/>
        <w:spacing w:after="100" w:line="264"/>
      </w:pPr>
      <w:r>
        <w:rPr>
          <w:rFonts w:ascii="Consolas" w:cs="Consolas" w:eastAsia="Consolas" w:hAnsi="Consolas"/>
          <w:sz w:val="19"/>
          <w:szCs w:val="19"/>
        </w:rPr>
        <w:t xml:space="preserve">python scripts/run_lopo.py --config configs/default.yaml \
    --method cc-dro --held_out linux --seed 0 \
    --data_path data/processed/top10.parquet \
    --output_dir runs/codebert/cc-dro/linux/seed0</w:t>
      </w:r>
    </w:p>
    <w:p>
      <w:pPr>
        <w:pStyle w:val="Heading2"/>
        <w:spacing w:after="100" w:before="180"/>
      </w:pPr>
      <w:r>
        <w:rPr>
          <w:rFonts w:ascii="Arial" w:cs="Arial" w:eastAsia="Arial" w:hAnsi="Arial"/>
          <w:b/>
          <w:bCs/>
          <w:color w:val="2E5496"/>
          <w:sz w:val="25"/>
          <w:szCs w:val="25"/>
        </w:rPr>
        <w:t xml:space="preserve">6.2 Tier 2 — backbone generality (answers RQ5)</w:t>
      </w:r>
    </w:p>
    <w:p>
      <w:pPr>
        <w:spacing w:after="120" w:line="276"/>
        <w:jc w:val="left"/>
      </w:pPr>
      <w:r>
        <w:rPr>
          <w:rFonts w:ascii="Arial" w:cs="Arial" w:eastAsia="Arial" w:hAnsi="Arial"/>
          <w:b w:val="false"/>
          <w:bCs w:val="false"/>
          <w:i w:val="false"/>
          <w:iCs w:val="false"/>
          <w:sz w:val="22"/>
          <w:szCs w:val="22"/>
        </w:rPr>
        <w:t xml:space="preserve">UniXcoder and GraphCodeBERT × {erm, dro, cc-dro} × 10 folds × 2 seeds = 120 runs. This shows the CC-DRO gain is not specific to CodeBERT without paying for the full 6-method grid on every backbone.</w:t>
      </w:r>
    </w:p>
    <w:p>
      <w:pPr>
        <w:shd w:fill="F2F2F2" w:val="clear"/>
        <w:spacing w:after="100" w:line="264"/>
      </w:pPr>
      <w:r>
        <w:rPr>
          <w:rFonts w:ascii="Consolas" w:cs="Consolas" w:eastAsia="Consolas" w:hAnsi="Consolas"/>
          <w:sz w:val="19"/>
          <w:szCs w:val="19"/>
        </w:rPr>
        <w:t xml:space="preserve">bash scripts/run_tier2_backbones.sh</w:t>
      </w:r>
    </w:p>
    <w:p>
      <w:pPr>
        <w:pStyle w:val="Heading2"/>
        <w:spacing w:after="100" w:before="180"/>
      </w:pPr>
      <w:r>
        <w:rPr>
          <w:rFonts w:ascii="Arial" w:cs="Arial" w:eastAsia="Arial" w:hAnsi="Arial"/>
          <w:b/>
          <w:bCs/>
          <w:color w:val="2E5496"/>
          <w:sz w:val="25"/>
          <w:szCs w:val="25"/>
        </w:rPr>
        <w:t xml:space="preserve">6.3 Tier 3 — optional LLM baseline (answers RQ6)</w:t>
      </w:r>
    </w:p>
    <w:p>
      <w:pPr>
        <w:spacing w:after="120" w:line="276"/>
        <w:jc w:val="left"/>
      </w:pPr>
      <w:r>
        <w:rPr>
          <w:rFonts w:ascii="Arial" w:cs="Arial" w:eastAsia="Arial" w:hAnsi="Arial"/>
          <w:b w:val="false"/>
          <w:bCs w:val="false"/>
          <w:i w:val="false"/>
          <w:iCs w:val="false"/>
          <w:sz w:val="22"/>
          <w:szCs w:val="22"/>
        </w:rPr>
        <w:t xml:space="preserve">A small code-LLM (e.g., an instruction-tuned 7B-class model) is run zero-/few-shot in inference-only mode on each LOPO test split, scored with the same metrics. This contextualises 'prompted LLM vs fine-tuned DG' and aligns with the LLM strand of the lab's work. Tier 3 is optional and added only if compute and time allow.</w:t>
      </w:r>
    </w:p>
    <w:p>
      <w:pPr>
        <w:pStyle w:val="Heading2"/>
        <w:spacing w:after="100" w:before="180"/>
      </w:pPr>
      <w:r>
        <w:rPr>
          <w:rFonts w:ascii="Arial" w:cs="Arial" w:eastAsia="Arial" w:hAnsi="Arial"/>
          <w:b/>
          <w:bCs/>
          <w:color w:val="2E5496"/>
          <w:sz w:val="25"/>
          <w:szCs w:val="25"/>
        </w:rPr>
        <w:t xml:space="preserve">6.4 Ablation studies (support RQ3 and method design)</w:t>
      </w:r>
    </w:p>
    <w:p>
      <w:pPr>
        <w:pStyle w:val="ListParagraph"/>
        <w:numPr>
          <w:ilvl w:val="0"/>
          <w:numId w:val="3"/>
        </w:numPr>
        <w:spacing w:after="80" w:line="270"/>
      </w:pPr>
      <w:r>
        <w:rPr>
          <w:rFonts w:ascii="Arial" w:cs="Arial" w:eastAsia="Arial" w:hAnsi="Arial"/>
          <w:b/>
          <w:bCs/>
          <w:sz w:val="22"/>
          <w:szCs w:val="22"/>
        </w:rPr>
        <w:t xml:space="preserve">Invariance penalty on/off:</w:t>
      </w:r>
      <w:r>
        <w:rPr>
          <w:rFonts w:ascii="Arial" w:cs="Arial" w:eastAsia="Arial" w:hAnsi="Arial"/>
          <w:sz w:val="22"/>
          <w:szCs w:val="22"/>
        </w:rPr>
        <w:t xml:space="preserve"> CC-DRO with λinv = 0 (pure class-conditional DRO) vs λinv &gt; 0, isolating the contribution of cross-project positive-risk invariance.</w:t>
      </w:r>
    </w:p>
    <w:p>
      <w:pPr>
        <w:pStyle w:val="ListParagraph"/>
        <w:numPr>
          <w:ilvl w:val="0"/>
          <w:numId w:val="3"/>
        </w:numPr>
        <w:spacing w:after="80" w:line="270"/>
      </w:pPr>
      <w:r>
        <w:rPr>
          <w:rFonts w:ascii="Arial" w:cs="Arial" w:eastAsia="Arial" w:hAnsi="Arial"/>
          <w:b/>
          <w:bCs/>
          <w:sz w:val="22"/>
          <w:szCs w:val="22"/>
        </w:rPr>
        <w:t xml:space="preserve">Group structure:</w:t>
      </w:r>
      <w:r>
        <w:rPr>
          <w:rFonts w:ascii="Arial" w:cs="Arial" w:eastAsia="Arial" w:hAnsi="Arial"/>
          <w:sz w:val="22"/>
          <w:szCs w:val="22"/>
        </w:rPr>
        <w:t xml:space="preserve"> (project × class) cells vs project-only groups (= GroupDRO), isolating the contribution of class conditioning.</w:t>
      </w:r>
    </w:p>
    <w:p>
      <w:pPr>
        <w:pStyle w:val="ListParagraph"/>
        <w:numPr>
          <w:ilvl w:val="0"/>
          <w:numId w:val="3"/>
        </w:numPr>
        <w:spacing w:after="80" w:line="270"/>
      </w:pPr>
      <w:r>
        <w:rPr>
          <w:rFonts w:ascii="Arial" w:cs="Arial" w:eastAsia="Arial" w:hAnsi="Arial"/>
          <w:b/>
          <w:bCs/>
          <w:sz w:val="22"/>
          <w:szCs w:val="22"/>
        </w:rPr>
        <w:t xml:space="preserve">λinv sweep:</w:t>
      </w:r>
      <w:r>
        <w:rPr>
          <w:rFonts w:ascii="Arial" w:cs="Arial" w:eastAsia="Arial" w:hAnsi="Arial"/>
          <w:sz w:val="22"/>
          <w:szCs w:val="22"/>
        </w:rPr>
        <w:t xml:space="preserve"> λinv ∈ {0, 0.1, 1, 10} on 3 representative folds, reporting PR-AUC and vulnerability-recall gap.</w:t>
      </w:r>
    </w:p>
    <w:p>
      <w:pPr>
        <w:pStyle w:val="ListParagraph"/>
        <w:numPr>
          <w:ilvl w:val="0"/>
          <w:numId w:val="3"/>
        </w:numPr>
        <w:spacing w:after="80" w:line="270"/>
      </w:pPr>
      <w:r>
        <w:rPr>
          <w:rFonts w:ascii="Arial" w:cs="Arial" w:eastAsia="Arial" w:hAnsi="Arial"/>
          <w:b/>
          <w:bCs/>
          <w:sz w:val="22"/>
          <w:szCs w:val="22"/>
        </w:rPr>
        <w:t xml:space="preserve">Pseudo-domain count C:</w:t>
      </w:r>
      <w:r>
        <w:rPr>
          <w:rFonts w:ascii="Arial" w:cs="Arial" w:eastAsia="Arial" w:hAnsi="Arial"/>
          <w:sz w:val="22"/>
          <w:szCs w:val="22"/>
        </w:rPr>
        <w:t xml:space="preserve"> C ∈ {0, 2, 5, 10, 20} for PD+DRO (Fig. 1 in the paper).</w:t>
      </w:r>
    </w:p>
    <w:p>
      <w:pPr>
        <w:pStyle w:val="Heading2"/>
        <w:spacing w:after="100" w:before="180"/>
      </w:pPr>
      <w:r>
        <w:rPr>
          <w:rFonts w:ascii="Arial" w:cs="Arial" w:eastAsia="Arial" w:hAnsi="Arial"/>
          <w:b/>
          <w:bCs/>
          <w:color w:val="2E5496"/>
          <w:sz w:val="25"/>
          <w:szCs w:val="25"/>
        </w:rPr>
        <w:t xml:space="preserve">6.5 Statistical testing procedure</w:t>
      </w:r>
    </w:p>
    <w:p>
      <w:pPr>
        <w:spacing w:after="120" w:line="276"/>
        <w:jc w:val="left"/>
      </w:pPr>
      <w:r>
        <w:rPr>
          <w:rFonts w:ascii="Arial" w:cs="Arial" w:eastAsia="Arial" w:hAnsi="Arial"/>
          <w:b w:val="false"/>
          <w:bCs w:val="false"/>
          <w:i w:val="false"/>
          <w:iCs w:val="false"/>
          <w:sz w:val="22"/>
          <w:szCs w:val="22"/>
        </w:rPr>
        <w:t xml:space="preserve">For each method, compute the per-fold metric averaged over seeds, giving 10 paired values per method. Run a paired Wilcoxon signed-rank test of each method against ERM, and of CC-DRO against GroupDRO, on PR-AUC (and separately on vulnerability recall for RQ3). Report the mean difference, the p-value, and significance at p &lt; 0.05. aggregate_results.py performs this and emits a LaTeX table.</w:t>
      </w:r>
    </w:p>
    <w:p>
      <w:pPr>
        <w:shd w:fill="F2F2F2" w:val="clear"/>
        <w:spacing w:after="100" w:line="264"/>
      </w:pPr>
      <w:r>
        <w:rPr>
          <w:rFonts w:ascii="Consolas" w:cs="Consolas" w:eastAsia="Consolas" w:hAnsi="Consolas"/>
          <w:sz w:val="19"/>
          <w:szCs w:val="19"/>
        </w:rPr>
        <w:t xml:space="preserve">python scripts/aggregate_results.py --runs_dir runs/ --out paper_tables/</w:t>
      </w:r>
    </w:p>
    <w:p>
      <w:pPr>
        <w:pStyle w:val="Heading2"/>
        <w:spacing w:after="100" w:before="180"/>
      </w:pPr>
      <w:r>
        <w:rPr>
          <w:rFonts w:ascii="Arial" w:cs="Arial" w:eastAsia="Arial" w:hAnsi="Arial"/>
          <w:b/>
          <w:bCs/>
          <w:color w:val="2E5496"/>
          <w:sz w:val="25"/>
          <w:szCs w:val="25"/>
        </w:rPr>
        <w:t xml:space="preserve">6.6 Qualitative analysis</w:t>
      </w:r>
    </w:p>
    <w:p>
      <w:pPr>
        <w:pStyle w:val="ListParagraph"/>
        <w:numPr>
          <w:ilvl w:val="0"/>
          <w:numId w:val="3"/>
        </w:numPr>
        <w:spacing w:after="80" w:line="270"/>
      </w:pPr>
      <w:r>
        <w:rPr>
          <w:rFonts w:ascii="Arial" w:cs="Arial" w:eastAsia="Arial" w:hAnsi="Arial"/>
          <w:sz w:val="22"/>
          <w:szCs w:val="22"/>
        </w:rPr>
        <w:t xml:space="preserve">Per-project recall heatmap across methods to visualise the vulnerability-recall gap (RQ3).</w:t>
      </w:r>
    </w:p>
    <w:p>
      <w:pPr>
        <w:pStyle w:val="ListParagraph"/>
        <w:numPr>
          <w:ilvl w:val="0"/>
          <w:numId w:val="3"/>
        </w:numPr>
        <w:spacing w:after="80" w:line="270"/>
      </w:pPr>
      <w:r>
        <w:rPr>
          <w:rFonts w:ascii="Arial" w:cs="Arial" w:eastAsia="Arial" w:hAnsi="Arial"/>
          <w:sz w:val="22"/>
          <w:szCs w:val="22"/>
        </w:rPr>
        <w:t xml:space="preserve">DRO/CC-DRO group-weight trajectories over training, showing which (project × class) cells dominate.</w:t>
      </w:r>
    </w:p>
    <w:p>
      <w:pPr>
        <w:pStyle w:val="ListParagraph"/>
        <w:numPr>
          <w:ilvl w:val="0"/>
          <w:numId w:val="3"/>
        </w:numPr>
        <w:spacing w:after="80" w:line="270"/>
      </w:pPr>
      <w:r>
        <w:rPr>
          <w:rFonts w:ascii="Arial" w:cs="Arial" w:eastAsia="Arial" w:hAnsi="Arial"/>
          <w:sz w:val="22"/>
          <w:szCs w:val="22"/>
        </w:rPr>
        <w:t xml:space="preserve">A small set of true/false positives on the worst-performing held-out project, by CWE, to characterise failure modes.</w:t>
      </w:r>
    </w:p>
    <w:p>
      <w:pPr>
        <w:pStyle w:val="Heading2"/>
        <w:spacing w:after="100" w:before="180"/>
      </w:pPr>
      <w:r>
        <w:rPr>
          <w:rFonts w:ascii="Arial" w:cs="Arial" w:eastAsia="Arial" w:hAnsi="Arial"/>
          <w:b/>
          <w:bCs/>
          <w:color w:val="2E5496"/>
          <w:sz w:val="25"/>
          <w:szCs w:val="25"/>
        </w:rPr>
        <w:t xml:space="preserve">6.7 Mapping experiments to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60"/>
        <w:gridCol w:w="360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RQ</w:t>
            </w:r>
          </w:p>
        </w:tc>
        <w:tc>
          <w:tcPr>
            <w:tcW w:type="dxa" w:w="4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Experiment</w:t>
            </w:r>
          </w:p>
        </w:tc>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Decision metric</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RQ1</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1: DG vs ERM</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PR-AUC, Wilcoxon vs ERM</w:t>
            </w:r>
          </w:p>
        </w:tc>
      </w:tr>
      <w:tr>
        <w:tc>
          <w:tcPr>
            <w:tcW w:type="dxa" w:w="11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RQ2</w:t>
            </w:r>
          </w:p>
        </w:tc>
        <w:tc>
          <w:tcPr>
            <w:tcW w:type="dxa" w:w="46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1: DG vs DA-CORAL/DANN</w:t>
            </w:r>
          </w:p>
        </w:tc>
        <w:tc>
          <w:tcPr>
            <w:tcW w:type="dxa" w:w="36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PR-AUC gap; is DG ≥ DA?</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RQ3</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1 + ablations: CC-DRO vs IRM/GroupDRO</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cross-project vulnerability-recall gap</w:t>
            </w:r>
          </w:p>
        </w:tc>
      </w:tr>
      <w:tr>
        <w:tc>
          <w:tcPr>
            <w:tcW w:type="dxa" w:w="11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RQ4</w:t>
            </w:r>
          </w:p>
        </w:tc>
        <w:tc>
          <w:tcPr>
            <w:tcW w:type="dxa" w:w="46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1: seen vs unseen</w:t>
            </w:r>
          </w:p>
        </w:tc>
        <w:tc>
          <w:tcPr>
            <w:tcW w:type="dxa" w:w="36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Δ seen-F1 vs Δ unseen-F1</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RQ5</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2: CC-DRO across backbones</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PR-AUC gain per backbone</w:t>
            </w:r>
          </w:p>
        </w:tc>
      </w:tr>
      <w:tr>
        <w:tc>
          <w:tcPr>
            <w:tcW w:type="dxa" w:w="11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RQ6</w:t>
            </w:r>
          </w:p>
        </w:tc>
        <w:tc>
          <w:tcPr>
            <w:tcW w:type="dxa" w:w="46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3: prompted code-LLM</w:t>
            </w:r>
          </w:p>
        </w:tc>
        <w:tc>
          <w:tcPr>
            <w:tcW w:type="dxa" w:w="36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PR-AUC, F1 vs fine-tuned DG</w:t>
            </w:r>
          </w:p>
        </w:tc>
      </w:tr>
    </w:tbl>
    <w:p>
      <w:pPr>
        <w:pStyle w:val="Heading1"/>
        <w:spacing w:after="140" w:before="260"/>
      </w:pPr>
      <w:r>
        <w:rPr>
          <w:rFonts w:ascii="Arial" w:cs="Arial" w:eastAsia="Arial" w:hAnsi="Arial"/>
          <w:b/>
          <w:bCs/>
          <w:color w:val="1F3864"/>
          <w:sz w:val="30"/>
          <w:szCs w:val="30"/>
        </w:rPr>
        <w:t xml:space="preserve">7. Expected Results</w:t>
      </w:r>
    </w:p>
    <w:p>
      <w:pPr>
        <w:spacing w:after="120" w:line="276"/>
        <w:jc w:val="left"/>
      </w:pPr>
      <w:r>
        <w:rPr>
          <w:rFonts w:ascii="Arial" w:cs="Arial" w:eastAsia="Arial" w:hAnsi="Arial"/>
          <w:b w:val="false"/>
          <w:bCs w:val="false"/>
          <w:i w:val="false"/>
          <w:iCs w:val="false"/>
          <w:sz w:val="22"/>
          <w:szCs w:val="22"/>
        </w:rPr>
        <w:t xml:space="preserve">Based on DG results in vision/NLP and the structure of the problem, we anticipate (to be confirmed by the executed sweep):</w:t>
      </w:r>
    </w:p>
    <w:p>
      <w:pPr>
        <w:pStyle w:val="ListParagraph"/>
        <w:numPr>
          <w:ilvl w:val="0"/>
          <w:numId w:val="3"/>
        </w:numPr>
        <w:spacing w:after="80" w:line="270"/>
      </w:pPr>
      <w:r>
        <w:rPr>
          <w:rFonts w:ascii="Arial" w:cs="Arial" w:eastAsia="Arial" w:hAnsi="Arial"/>
          <w:sz w:val="22"/>
          <w:szCs w:val="22"/>
        </w:rPr>
        <w:t xml:space="preserve">Cross-project PR-AUC improves for DG over ERM-FT (RQ1).</w:t>
      </w:r>
    </w:p>
    <w:p>
      <w:pPr>
        <w:pStyle w:val="ListParagraph"/>
        <w:numPr>
          <w:ilvl w:val="0"/>
          <w:numId w:val="3"/>
        </w:numPr>
        <w:spacing w:after="80" w:line="270"/>
      </w:pPr>
      <w:r>
        <w:rPr>
          <w:rFonts w:ascii="Arial" w:cs="Arial" w:eastAsia="Arial" w:hAnsi="Arial"/>
          <w:sz w:val="22"/>
          <w:szCs w:val="22"/>
        </w:rPr>
        <w:t xml:space="preserve">CC-DRO matches or exceeds the DA baselines despite using no labelled target data (RQ2).</w:t>
      </w:r>
    </w:p>
    <w:p>
      <w:pPr>
        <w:pStyle w:val="ListParagraph"/>
        <w:numPr>
          <w:ilvl w:val="0"/>
          <w:numId w:val="3"/>
        </w:numPr>
        <w:spacing w:after="80" w:line="270"/>
      </w:pPr>
      <w:r>
        <w:rPr>
          <w:rFonts w:ascii="Arial" w:cs="Arial" w:eastAsia="Arial" w:hAnsi="Arial"/>
          <w:sz w:val="22"/>
          <w:szCs w:val="22"/>
        </w:rPr>
        <w:t xml:space="preserve">CC-DRO narrows the cross-project vulnerability-recall gap relative to class-blind IRM/GroupDRO — the central hypothesis (RQ3).</w:t>
      </w:r>
    </w:p>
    <w:p>
      <w:pPr>
        <w:pStyle w:val="ListParagraph"/>
        <w:numPr>
          <w:ilvl w:val="0"/>
          <w:numId w:val="3"/>
        </w:numPr>
        <w:spacing w:after="80" w:line="270"/>
      </w:pPr>
      <w:r>
        <w:rPr>
          <w:rFonts w:ascii="Arial" w:cs="Arial" w:eastAsia="Arial" w:hAnsi="Arial"/>
          <w:sz w:val="22"/>
          <w:szCs w:val="22"/>
        </w:rPr>
        <w:t xml:space="preserve">Seen-project F1 regresses only marginally — a favourable trade-off (RQ4).</w:t>
      </w:r>
    </w:p>
    <w:p>
      <w:pPr>
        <w:pStyle w:val="ListParagraph"/>
        <w:numPr>
          <w:ilvl w:val="0"/>
          <w:numId w:val="3"/>
        </w:numPr>
        <w:spacing w:after="80" w:line="270"/>
      </w:pPr>
      <w:r>
        <w:rPr>
          <w:rFonts w:ascii="Arial" w:cs="Arial" w:eastAsia="Arial" w:hAnsi="Arial"/>
          <w:sz w:val="22"/>
          <w:szCs w:val="22"/>
        </w:rPr>
        <w:t xml:space="preserve">The CC-DRO gain holds, in direction, across UniXcoder and GraphCodeBERT (RQ5).</w:t>
      </w:r>
    </w:p>
    <w:p>
      <w:pPr>
        <w:spacing w:after="120" w:line="276"/>
        <w:jc w:val="left"/>
      </w:pPr>
      <w:r>
        <w:rPr>
          <w:rFonts w:ascii="Arial" w:cs="Arial" w:eastAsia="Arial" w:hAnsi="Arial"/>
          <w:b w:val="false"/>
          <w:bCs w:val="false"/>
          <w:i/>
          <w:iCs/>
          <w:color w:val="595959"/>
          <w:sz w:val="20"/>
          <w:szCs w:val="20"/>
        </w:rPr>
        <w:t xml:space="preserve">All manuscript numbers remain illustrative placeholders until run_full_sweep.sh completes; they are replaced before submission.</w:t>
      </w:r>
    </w:p>
    <w:p>
      <w:pPr>
        <w:pStyle w:val="Heading1"/>
        <w:spacing w:after="140" w:before="260"/>
      </w:pPr>
      <w:r>
        <w:rPr>
          <w:rFonts w:ascii="Arial" w:cs="Arial" w:eastAsia="Arial" w:hAnsi="Arial"/>
          <w:b/>
          <w:bCs/>
          <w:color w:val="1F3864"/>
          <w:sz w:val="30"/>
          <w:szCs w:val="30"/>
        </w:rPr>
        <w:t xml:space="preserve">8. Timeline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Weeks</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Phase</w:t>
            </w:r>
          </w:p>
        </w:tc>
        <w:tc>
          <w:tcPr>
            <w:tcW w:type="dxa" w:w="6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Concrete deliverables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1–2</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Data + harness</w:t>
            </w:r>
          </w:p>
        </w:tc>
        <w:tc>
          <w:tcPr>
            <w:tcW w:type="dxa" w:w="6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Preprocess MegaVul; verify Table I counts; reproduce ERM-FT; confirm LOPO + temporal split + pos_weight + threshold tuning on real data (1 fold per method).</w:t>
            </w:r>
          </w:p>
        </w:tc>
      </w:tr>
      <w:tr>
        <w:tc>
          <w:tcPr>
            <w:tcW w:type="dxa" w:w="9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3–4</w:t>
            </w:r>
          </w:p>
        </w:tc>
        <w:tc>
          <w:tcPr>
            <w:tcW w:type="dxa" w:w="22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CC-DRO + baselines</w:t>
            </w:r>
          </w:p>
        </w:tc>
        <w:tc>
          <w:tcPr>
            <w:tcW w:type="dxa" w:w="62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Finalise CC-DRO; validate on synthetic + 3 real LOPO folds; run IRM/GroupDRO/DA pilots; lock hyperparameters.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5–8</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1 full sweep</w:t>
            </w:r>
          </w:p>
        </w:tc>
        <w:tc>
          <w:tcPr>
            <w:tcW w:type="dxa" w:w="6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210 runs (7 methods × 10 folds × 3 seeds); aggregate; Wilcoxon tests; per-project analysis; main table + figures.</w:t>
            </w:r>
          </w:p>
        </w:tc>
      </w:tr>
      <w:tr>
        <w:tc>
          <w:tcPr>
            <w:tcW w:type="dxa" w:w="9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9–10</w:t>
            </w:r>
          </w:p>
        </w:tc>
        <w:tc>
          <w:tcPr>
            <w:tcW w:type="dxa" w:w="22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 2 (+ optional Tier 3)</w:t>
            </w:r>
          </w:p>
        </w:tc>
        <w:tc>
          <w:tcPr>
            <w:tcW w:type="dxa" w:w="62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120 backbone runs; ablations (λinv, group structure, C); optional code-LLM baseline.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11</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Writing</w:t>
            </w:r>
          </w:p>
        </w:tc>
        <w:tc>
          <w:tcPr>
            <w:tcW w:type="dxa" w:w="6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Full draft: intro, method, setup, results, discussion, threats; insert measured numbers; internal review.</w:t>
            </w:r>
          </w:p>
        </w:tc>
      </w:tr>
      <w:tr>
        <w:tc>
          <w:tcPr>
            <w:tcW w:type="dxa" w:w="9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12</w:t>
            </w:r>
          </w:p>
        </w:tc>
        <w:tc>
          <w:tcPr>
            <w:tcW w:type="dxa" w:w="22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Polish + submit</w:t>
            </w:r>
          </w:p>
        </w:tc>
        <w:tc>
          <w:tcPr>
            <w:tcW w:type="dxa" w:w="62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Address review; finalise figures/tables; camera-style formatting; submit; release code.</w:t>
            </w:r>
          </w:p>
        </w:tc>
      </w:tr>
    </w:tbl>
    <w:p>
      <w:pPr>
        <w:pStyle w:val="Heading1"/>
        <w:spacing w:after="140" w:before="260"/>
      </w:pPr>
      <w:r>
        <w:rPr>
          <w:rFonts w:ascii="Arial" w:cs="Arial" w:eastAsia="Arial" w:hAnsi="Arial"/>
          <w:b/>
          <w:bCs/>
          <w:color w:val="1F3864"/>
          <w:sz w:val="30"/>
          <w:szCs w:val="30"/>
        </w:rPr>
        <w:t xml:space="preserve">9. Threats to Validity</w:t>
      </w:r>
    </w:p>
    <w:p>
      <w:pPr>
        <w:pStyle w:val="ListParagraph"/>
        <w:numPr>
          <w:ilvl w:val="0"/>
          <w:numId w:val="3"/>
        </w:numPr>
        <w:spacing w:after="80" w:line="270"/>
      </w:pPr>
      <w:r>
        <w:rPr>
          <w:rFonts w:ascii="Arial" w:cs="Arial" w:eastAsia="Arial" w:hAnsi="Arial"/>
          <w:b/>
          <w:bCs/>
          <w:sz w:val="22"/>
          <w:szCs w:val="22"/>
        </w:rPr>
        <w:t xml:space="preserve">Internal:</w:t>
      </w:r>
      <w:r>
        <w:rPr>
          <w:rFonts w:ascii="Arial" w:cs="Arial" w:eastAsia="Arial" w:hAnsi="Arial"/>
          <w:sz w:val="22"/>
          <w:szCs w:val="22"/>
        </w:rPr>
        <w:t xml:space="preserve"> IRM and DRO are hyperparameter-sensitive. Mitigation: report mean ± std over seeds; provide CC-DRO ablations; select on val PR-AUC.</w:t>
      </w:r>
    </w:p>
    <w:p>
      <w:pPr>
        <w:pStyle w:val="ListParagraph"/>
        <w:numPr>
          <w:ilvl w:val="0"/>
          <w:numId w:val="3"/>
        </w:numPr>
        <w:spacing w:after="80" w:line="270"/>
      </w:pPr>
      <w:r>
        <w:rPr>
          <w:rFonts w:ascii="Arial" w:cs="Arial" w:eastAsia="Arial" w:hAnsi="Arial"/>
          <w:b/>
          <w:bCs/>
          <w:sz w:val="22"/>
          <w:szCs w:val="22"/>
        </w:rPr>
        <w:t xml:space="preserve">External:</w:t>
      </w:r>
      <w:r>
        <w:rPr>
          <w:rFonts w:ascii="Arial" w:cs="Arial" w:eastAsia="Arial" w:hAnsi="Arial"/>
          <w:sz w:val="22"/>
          <w:szCs w:val="22"/>
        </w:rPr>
        <w:t xml:space="preserve"> results bound to MegaVul and C/C++; cross-language generalisation is future work.</w:t>
      </w:r>
    </w:p>
    <w:p>
      <w:pPr>
        <w:pStyle w:val="ListParagraph"/>
        <w:numPr>
          <w:ilvl w:val="0"/>
          <w:numId w:val="3"/>
        </w:numPr>
        <w:spacing w:after="80" w:line="270"/>
      </w:pPr>
      <w:r>
        <w:rPr>
          <w:rFonts w:ascii="Arial" w:cs="Arial" w:eastAsia="Arial" w:hAnsi="Arial"/>
          <w:b/>
          <w:bCs/>
          <w:sz w:val="22"/>
          <w:szCs w:val="22"/>
        </w:rPr>
        <w:t xml:space="preserve">Construct:</w:t>
      </w:r>
      <w:r>
        <w:rPr>
          <w:rFonts w:ascii="Arial" w:cs="Arial" w:eastAsia="Arial" w:hAnsi="Arial"/>
          <w:sz w:val="22"/>
          <w:szCs w:val="22"/>
        </w:rPr>
        <w:t xml:space="preserve"> MegaVul labels inherit upstream noise (NVD, commit messages); we do not re-audit labels. The DA-target split reduces the held-out test size (a smaller test set per fold); reported as a trade-off for removing leakage.</w:t>
      </w:r>
    </w:p>
    <w:p>
      <w:pPr>
        <w:pStyle w:val="ListParagraph"/>
        <w:numPr>
          <w:ilvl w:val="0"/>
          <w:numId w:val="3"/>
        </w:numPr>
        <w:spacing w:after="80" w:line="270"/>
      </w:pPr>
      <w:r>
        <w:rPr>
          <w:rFonts w:ascii="Arial" w:cs="Arial" w:eastAsia="Arial" w:hAnsi="Arial"/>
          <w:b/>
          <w:bCs/>
          <w:sz w:val="22"/>
          <w:szCs w:val="22"/>
        </w:rPr>
        <w:t xml:space="preserve">Conclusion:</w:t>
      </w:r>
      <w:r>
        <w:rPr>
          <w:rFonts w:ascii="Arial" w:cs="Arial" w:eastAsia="Arial" w:hAnsi="Arial"/>
          <w:sz w:val="22"/>
          <w:szCs w:val="22"/>
        </w:rPr>
        <w:t xml:space="preserve"> 10 folds × seeds give paired samples sufficient for Wilcoxon comparisons at p &lt; 0.05.</w:t>
      </w:r>
    </w:p>
    <w:p>
      <w:pPr>
        <w:pStyle w:val="Heading1"/>
        <w:spacing w:after="140" w:before="260"/>
      </w:pPr>
      <w:r>
        <w:rPr>
          <w:rFonts w:ascii="Arial" w:cs="Arial" w:eastAsia="Arial" w:hAnsi="Arial"/>
          <w:b/>
          <w:bCs/>
          <w:color w:val="1F3864"/>
          <w:sz w:val="30"/>
          <w:szCs w:val="30"/>
        </w:rPr>
        <w:t xml:space="preserve">10. Resources Required</w:t>
      </w:r>
    </w:p>
    <w:p>
      <w:pPr>
        <w:pStyle w:val="ListParagraph"/>
        <w:numPr>
          <w:ilvl w:val="0"/>
          <w:numId w:val="3"/>
        </w:numPr>
        <w:spacing w:after="80" w:line="270"/>
      </w:pPr>
      <w:r>
        <w:rPr>
          <w:rFonts w:ascii="Arial" w:cs="Arial" w:eastAsia="Arial" w:hAnsi="Arial"/>
          <w:b/>
          <w:bCs/>
          <w:sz w:val="22"/>
          <w:szCs w:val="22"/>
        </w:rPr>
        <w:t xml:space="preserve">Compute:</w:t>
      </w:r>
      <w:r>
        <w:rPr>
          <w:rFonts w:ascii="Arial" w:cs="Arial" w:eastAsia="Arial" w:hAnsi="Arial"/>
          <w:sz w:val="22"/>
          <w:szCs w:val="22"/>
        </w:rPr>
        <w:t xml:space="preserve"> a single 24 GB GPU (e.g., RTX 3090) suffices for CodeBERT-base at sequence length 512, batch 32. Tier 1 ≈ 7–10 days; Tier 2 ≈ 4–6 days. A reduced plan (Section 11) fits the 12-week window with margin.</w:t>
      </w:r>
    </w:p>
    <w:p>
      <w:pPr>
        <w:pStyle w:val="ListParagraph"/>
        <w:numPr>
          <w:ilvl w:val="0"/>
          <w:numId w:val="3"/>
        </w:numPr>
        <w:spacing w:after="80" w:line="270"/>
      </w:pPr>
      <w:r>
        <w:rPr>
          <w:rFonts w:ascii="Arial" w:cs="Arial" w:eastAsia="Arial" w:hAnsi="Arial"/>
          <w:b/>
          <w:bCs/>
          <w:sz w:val="22"/>
          <w:szCs w:val="22"/>
        </w:rPr>
        <w:t xml:space="preserve">Storage:</w:t>
      </w:r>
      <w:r>
        <w:rPr>
          <w:rFonts w:ascii="Arial" w:cs="Arial" w:eastAsia="Arial" w:hAnsi="Arial"/>
          <w:sz w:val="22"/>
          <w:szCs w:val="22"/>
        </w:rPr>
        <w:t xml:space="preserve"> &lt; 50 GB (raw MegaVul + processed parquet + checkpoints).</w:t>
      </w:r>
    </w:p>
    <w:p>
      <w:pPr>
        <w:pStyle w:val="ListParagraph"/>
        <w:numPr>
          <w:ilvl w:val="0"/>
          <w:numId w:val="3"/>
        </w:numPr>
        <w:spacing w:after="80" w:line="270"/>
      </w:pPr>
      <w:r>
        <w:rPr>
          <w:rFonts w:ascii="Arial" w:cs="Arial" w:eastAsia="Arial" w:hAnsi="Arial"/>
          <w:b/>
          <w:bCs/>
          <w:sz w:val="22"/>
          <w:szCs w:val="22"/>
        </w:rPr>
        <w:t xml:space="preserve">Personnel:</w:t>
      </w:r>
      <w:r>
        <w:rPr>
          <w:rFonts w:ascii="Arial" w:cs="Arial" w:eastAsia="Arial" w:hAnsi="Arial"/>
          <w:sz w:val="22"/>
          <w:szCs w:val="22"/>
        </w:rPr>
        <w:t xml:space="preserve"> 1 researcher full-time for 12 weeks; advisor reviewing weekly.</w:t>
      </w:r>
    </w:p>
    <w:p>
      <w:pPr>
        <w:pStyle w:val="Heading1"/>
        <w:spacing w:after="140" w:before="260"/>
      </w:pPr>
      <w:r>
        <w:rPr>
          <w:rFonts w:ascii="Arial" w:cs="Arial" w:eastAsia="Arial" w:hAnsi="Arial"/>
          <w:b/>
          <w:bCs/>
          <w:color w:val="1F3864"/>
          <w:sz w:val="30"/>
          <w:szCs w:val="30"/>
        </w:rPr>
        <w:t xml:space="preserve">11.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Risk</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52"/>
            </w:pPr>
            <w:r>
              <w:rPr>
                <w:rFonts w:ascii="Arial" w:cs="Arial" w:eastAsia="Arial" w:hAnsi="Arial"/>
                <w:b/>
                <w:bCs/>
                <w:color w:val="FFFFFF"/>
                <w:sz w:val="20"/>
                <w:szCs w:val="20"/>
              </w:rPr>
              <w:t xml:space="preserve">Mitigation</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Full sweep exceeds the time budget</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Reduce Tier 1 to 2 seeds; evaluate DA baselines on a subset of folds; freeze the encoder for IRM. Prioritise ERM/GroupDRO/CC-DRO across all folds first.</w:t>
            </w:r>
          </w:p>
        </w:tc>
      </w:tr>
      <w:tr>
        <w:tc>
          <w:tcPr>
            <w:tcW w:type="dxa" w:w="32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CC-DRO unstable on rare-positive batches</w:t>
            </w:r>
          </w:p>
        </w:tc>
        <w:tc>
          <w:tcPr>
            <w:tcW w:type="dxa" w:w="61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Omit empty cells per step; apply the invariance penalty only when ≥2 projects have positives; cap pos_weight; ramp λinv after warm-up; GroupDRO is the stable fallback.</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Class-blind DG already strong (small RQ3 gap)</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Frame contribution as the first class-conditional robust DG benchmark for SVD; the vulnerability-recall analysis and DG-vs-DA comparison remain valuable empirically.</w:t>
            </w:r>
          </w:p>
        </w:tc>
      </w:tr>
      <w:tr>
        <w:tc>
          <w:tcPr>
            <w:tcW w:type="dxa" w:w="320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MegaVul label noise inflates F1</w:t>
            </w:r>
          </w:p>
        </w:tc>
        <w:tc>
          <w:tcPr>
            <w:tcW w:type="dxa" w:w="6160"/>
            <w:tcBorders>
              <w:top w:val="single" w:color="BFBFBF" w:sz="1"/>
              <w:left w:val="single" w:color="BFBFBF" w:sz="1"/>
              <w:bottom w:val="single" w:color="BFBFBF" w:sz="1"/>
              <w:right w:val="single" w:color="BFBFBF" w:sz="1"/>
            </w:tcBorders>
            <w:shd w:fill="EEF2F8" w:val="clear"/>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Report per-project F1 range and PR-AUC, not just averages; cite Chakraborty et al. 2022.</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Reviewer: 'why not StarCoder / larger LLM?'</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Backbone fixed for the controlled comparison; code-LLM included as Tier 3; larger models noted as future work.</w:t>
            </w:r>
          </w:p>
        </w:tc>
      </w:tr>
    </w:tbl>
    <w:p>
      <w:pPr>
        <w:pStyle w:val="Heading1"/>
        <w:spacing w:after="140" w:before="260"/>
      </w:pPr>
      <w:r>
        <w:rPr>
          <w:rFonts w:ascii="Arial" w:cs="Arial" w:eastAsia="Arial" w:hAnsi="Arial"/>
          <w:b/>
          <w:bCs/>
          <w:color w:val="1F3864"/>
          <w:sz w:val="30"/>
          <w:szCs w:val="30"/>
        </w:rPr>
        <w:t xml:space="preserve">12. Why this target venue?</w:t>
      </w:r>
    </w:p>
    <w:p>
      <w:pPr>
        <w:spacing w:after="120" w:line="276"/>
        <w:jc w:val="left"/>
      </w:pPr>
      <w:r>
        <w:rPr>
          <w:rFonts w:ascii="Arial" w:cs="Arial" w:eastAsia="Arial" w:hAnsi="Arial"/>
          <w:b w:val="false"/>
          <w:bCs w:val="false"/>
          <w:i w:val="false"/>
          <w:iCs w:val="false"/>
          <w:sz w:val="22"/>
          <w:szCs w:val="22"/>
        </w:rPr>
        <w:t xml:space="preserve">SANER (research/mining), ICSME, QRS, SCAM, APSEC, and IEEE KSE all accept empirical SVD studies with clear ML methodology and reproducibility artifacts, and have reviewer-friendly acceptance profiles relative to the top-tier venues. The contribution profile — a new class-conditional robust DG objective, a controlled LOPO protocol under realistic imbalance, three methods compared with statistical tests across multiple backbones, and open code — fits an 8–10-page IEEE conference paper rather than a journal submission.</w:t>
      </w:r>
    </w:p>
    <w:p>
      <w:pPr>
        <w:pStyle w:val="Heading1"/>
        <w:spacing w:after="140" w:before="260"/>
      </w:pPr>
      <w:r>
        <w:rPr>
          <w:rFonts w:ascii="Arial" w:cs="Arial" w:eastAsia="Arial" w:hAnsi="Arial"/>
          <w:b/>
          <w:bCs/>
          <w:color w:val="1F3864"/>
          <w:sz w:val="30"/>
          <w:szCs w:val="30"/>
        </w:rPr>
        <w:t xml:space="preserve">Appendix A. Key Formulas and Algorithm</w:t>
      </w:r>
    </w:p>
    <w:p>
      <w:pPr>
        <w:pStyle w:val="Heading2"/>
        <w:spacing w:after="100" w:before="180"/>
      </w:pPr>
      <w:r>
        <w:rPr>
          <w:rFonts w:ascii="Arial" w:cs="Arial" w:eastAsia="Arial" w:hAnsi="Arial"/>
          <w:b/>
          <w:bCs/>
          <w:color w:val="2E5496"/>
          <w:sz w:val="25"/>
          <w:szCs w:val="25"/>
        </w:rPr>
        <w:t xml:space="preserve">A.1 Weighted ERM risk (shared)</w:t>
      </w:r>
    </w:p>
    <w:p>
      <w:pPr>
        <w:shd w:fill="F2F2F2" w:val="clear"/>
        <w:spacing w:after="100" w:line="264"/>
      </w:pPr>
      <w:r>
        <w:rPr>
          <w:rFonts w:ascii="Consolas" w:cs="Consolas" w:eastAsia="Consolas" w:hAnsi="Consolas"/>
          <w:sz w:val="19"/>
          <w:szCs w:val="19"/>
        </w:rPr>
        <w:t xml:space="preserve">R_k(θ) = E_{(x,y)~D_k} [ pos_weight^{y} · BCE(f_θ(x), y) ]</w:t>
      </w:r>
    </w:p>
    <w:p>
      <w:pPr>
        <w:pStyle w:val="Heading2"/>
        <w:spacing w:after="100" w:before="180"/>
      </w:pPr>
      <w:r>
        <w:rPr>
          <w:rFonts w:ascii="Arial" w:cs="Arial" w:eastAsia="Arial" w:hAnsi="Arial"/>
          <w:b/>
          <w:bCs/>
          <w:color w:val="2E5496"/>
          <w:sz w:val="25"/>
          <w:szCs w:val="25"/>
        </w:rPr>
        <w:t xml:space="preserve">A.2 IRMv1 objective</w:t>
      </w:r>
    </w:p>
    <w:p>
      <w:pPr>
        <w:shd w:fill="F2F2F2" w:val="clear"/>
        <w:spacing w:after="100" w:line="264"/>
      </w:pPr>
      <w:r>
        <w:rPr>
          <w:rFonts w:ascii="Consolas" w:cs="Consolas" w:eastAsia="Consolas" w:hAnsi="Consolas"/>
          <w:sz w:val="19"/>
          <w:szCs w:val="19"/>
        </w:rPr>
        <w:t xml:space="preserve">L_IRM(θ) = Σ_k R_k(θ) + λ · Σ_k ‖∇_{w|w=1} R_k(w · f_θ)‖²</w:t>
      </w:r>
    </w:p>
    <w:p>
      <w:pPr>
        <w:pStyle w:val="Heading2"/>
        <w:spacing w:after="100" w:before="180"/>
      </w:pPr>
      <w:r>
        <w:rPr>
          <w:rFonts w:ascii="Arial" w:cs="Arial" w:eastAsia="Arial" w:hAnsi="Arial"/>
          <w:b/>
          <w:bCs/>
          <w:color w:val="2E5496"/>
          <w:sz w:val="25"/>
          <w:szCs w:val="25"/>
        </w:rPr>
        <w:t xml:space="preserve">A.3 GroupDRO update (project groups)</w:t>
      </w:r>
    </w:p>
    <w:p>
      <w:pPr>
        <w:shd w:fill="F2F2F2" w:val="clear"/>
        <w:spacing w:after="100" w:line="264"/>
      </w:pPr>
      <w:r>
        <w:rPr>
          <w:rFonts w:ascii="Consolas" w:cs="Consolas" w:eastAsia="Consolas" w:hAnsi="Consolas"/>
          <w:sz w:val="19"/>
          <w:szCs w:val="19"/>
        </w:rPr>
        <w:t xml:space="preserve">q_k ← q_k · exp(η_q · R_k(θ)); q ← q / Σ q;  loss = Σ q_k R_k(θ)</w:t>
      </w:r>
    </w:p>
    <w:p>
      <w:pPr>
        <w:pStyle w:val="Heading2"/>
        <w:spacing w:after="100" w:before="180"/>
      </w:pPr>
      <w:r>
        <w:rPr>
          <w:rFonts w:ascii="Arial" w:cs="Arial" w:eastAsia="Arial" w:hAnsi="Arial"/>
          <w:b/>
          <w:bCs/>
          <w:color w:val="2E5496"/>
          <w:sz w:val="25"/>
          <w:szCs w:val="25"/>
        </w:rPr>
        <w:t xml:space="preserve">A.4 CC-DRO (proposed)</w:t>
      </w:r>
    </w:p>
    <w:p>
      <w:pPr>
        <w:spacing w:after="120" w:line="276"/>
        <w:jc w:val="left"/>
      </w:pPr>
      <w:r>
        <w:rPr>
          <w:rFonts w:ascii="Arial" w:cs="Arial" w:eastAsia="Arial" w:hAnsi="Arial"/>
          <w:b w:val="false"/>
          <w:bCs w:val="false"/>
          <w:i w:val="false"/>
          <w:iCs w:val="false"/>
          <w:sz w:val="22"/>
          <w:szCs w:val="22"/>
        </w:rPr>
        <w:t xml:space="preserve">Groups are cells g = (project p, class c). Let R_{(p,c)} be the mean weighted loss on cell (p,c) present in the step, and R_{p,pos} = R_{(p,1)}.</w:t>
      </w:r>
    </w:p>
    <w:p>
      <w:pPr>
        <w:shd w:fill="F2F2F2" w:val="clear"/>
        <w:spacing w:after="100" w:line="264"/>
      </w:pPr>
      <w:r>
        <w:rPr>
          <w:rFonts w:ascii="Consolas" w:cs="Consolas" w:eastAsia="Consolas" w:hAnsi="Consolas"/>
          <w:sz w:val="19"/>
          <w:szCs w:val="19"/>
        </w:rPr>
        <w:t xml:space="preserve">q_g ← q_g · exp(η_q · R_g);  q ← q / Σ q
L = Σ_g q_g · R_g  +  λ_inv · Var_p( R_{p,pos} )</w:t>
      </w:r>
    </w:p>
    <w:p>
      <w:pPr>
        <w:spacing w:after="120" w:line="276"/>
        <w:jc w:val="left"/>
      </w:pPr>
      <w:r>
        <w:rPr>
          <w:rFonts w:ascii="Arial" w:cs="Arial" w:eastAsia="Arial" w:hAnsi="Arial"/>
          <w:b w:val="false"/>
          <w:bCs w:val="false"/>
          <w:i w:val="false"/>
          <w:iCs w:val="false"/>
          <w:sz w:val="22"/>
          <w:szCs w:val="22"/>
        </w:rPr>
        <w:t xml:space="preserve">Algorithm (one step): for each project env, compute per-sample weighted BCE; split into (p,0)/(p,1) cell means; update q over the cells present; accumulate Σ q_g R_g; collect R_{p,pos}; add λ_inv · Var_p(R_{p,pos}) when ≥2 projects have positives; back-propagate.</w:t>
      </w:r>
    </w:p>
    <w:p>
      <w:pPr>
        <w:pStyle w:val="Heading2"/>
        <w:spacing w:after="100" w:before="180"/>
      </w:pPr>
      <w:r>
        <w:rPr>
          <w:rFonts w:ascii="Arial" w:cs="Arial" w:eastAsia="Arial" w:hAnsi="Arial"/>
          <w:b/>
          <w:bCs/>
          <w:color w:val="2E5496"/>
          <w:sz w:val="25"/>
          <w:szCs w:val="25"/>
        </w:rPr>
        <w:t xml:space="preserve">A.5 Pseudo-domain procedure (PD+DRO)</w:t>
      </w:r>
    </w:p>
    <w:p>
      <w:pPr>
        <w:pStyle w:val="ListParagraph"/>
        <w:numPr>
          <w:ilvl w:val="0"/>
          <w:numId w:val="3"/>
        </w:numPr>
        <w:spacing w:after="80" w:line="270"/>
      </w:pPr>
      <w:r>
        <w:rPr>
          <w:rFonts w:ascii="Arial" w:cs="Arial" w:eastAsia="Arial" w:hAnsi="Arial"/>
          <w:sz w:val="22"/>
          <w:szCs w:val="22"/>
        </w:rPr>
        <w:t xml:space="preserve">Compute the mean CodeBERT embedding for each tail project.</w:t>
      </w:r>
    </w:p>
    <w:p>
      <w:pPr>
        <w:pStyle w:val="ListParagraph"/>
        <w:numPr>
          <w:ilvl w:val="0"/>
          <w:numId w:val="3"/>
        </w:numPr>
        <w:spacing w:after="80" w:line="270"/>
      </w:pPr>
      <w:r>
        <w:rPr>
          <w:rFonts w:ascii="Arial" w:cs="Arial" w:eastAsia="Arial" w:hAnsi="Arial"/>
          <w:sz w:val="22"/>
          <w:szCs w:val="22"/>
        </w:rPr>
        <w:t xml:space="preserve">k-means over these embeddings into C clusters.</w:t>
      </w:r>
    </w:p>
    <w:p>
      <w:pPr>
        <w:pStyle w:val="ListParagraph"/>
        <w:numPr>
          <w:ilvl w:val="0"/>
          <w:numId w:val="3"/>
        </w:numPr>
        <w:spacing w:after="80" w:line="270"/>
      </w:pPr>
      <w:r>
        <w:rPr>
          <w:rFonts w:ascii="Arial" w:cs="Arial" w:eastAsia="Arial" w:hAnsi="Arial"/>
          <w:sz w:val="22"/>
          <w:szCs w:val="22"/>
        </w:rPr>
        <w:t xml:space="preserve">Treat each cluster as an additional environment for GroupDRO.</w:t>
      </w:r>
    </w:p>
    <w:p>
      <w:pPr>
        <w:pStyle w:val="Heading1"/>
        <w:spacing w:after="140" w:before="260"/>
      </w:pPr>
      <w:r>
        <w:rPr>
          <w:rFonts w:ascii="Arial" w:cs="Arial" w:eastAsia="Arial" w:hAnsi="Arial"/>
          <w:b/>
          <w:bCs/>
          <w:color w:val="1F3864"/>
          <w:sz w:val="30"/>
          <w:szCs w:val="30"/>
        </w:rPr>
        <w:t xml:space="preserve">Appendix B. Reproducibility Checklist</w:t>
      </w:r>
    </w:p>
    <w:p>
      <w:pPr>
        <w:pStyle w:val="ListParagraph"/>
        <w:numPr>
          <w:ilvl w:val="0"/>
          <w:numId w:val="3"/>
        </w:numPr>
        <w:spacing w:after="80" w:line="270"/>
      </w:pPr>
      <w:r>
        <w:rPr>
          <w:rFonts w:ascii="Arial" w:cs="Arial" w:eastAsia="Arial" w:hAnsi="Arial"/>
          <w:sz w:val="22"/>
          <w:szCs w:val="22"/>
        </w:rPr>
        <w:t xml:space="preserve">Fixed seeds {0,1,2}; mean ± std reported.</w:t>
      </w:r>
    </w:p>
    <w:p>
      <w:pPr>
        <w:pStyle w:val="ListParagraph"/>
        <w:numPr>
          <w:ilvl w:val="0"/>
          <w:numId w:val="3"/>
        </w:numPr>
        <w:spacing w:after="80" w:line="270"/>
      </w:pPr>
      <w:r>
        <w:rPr>
          <w:rFonts w:ascii="Arial" w:cs="Arial" w:eastAsia="Arial" w:hAnsi="Arial"/>
          <w:sz w:val="22"/>
          <w:szCs w:val="22"/>
        </w:rPr>
        <w:t xml:space="preserve">Chronological 8:1:1 split; LOPO folds; DA target = earlier portion of held-out project; test = later portion (identical across methods).</w:t>
      </w:r>
    </w:p>
    <w:p>
      <w:pPr>
        <w:pStyle w:val="ListParagraph"/>
        <w:numPr>
          <w:ilvl w:val="0"/>
          <w:numId w:val="3"/>
        </w:numPr>
        <w:spacing w:after="80" w:line="270"/>
      </w:pPr>
      <w:r>
        <w:rPr>
          <w:rFonts w:ascii="Arial" w:cs="Arial" w:eastAsia="Arial" w:hAnsi="Arial"/>
          <w:sz w:val="22"/>
          <w:szCs w:val="22"/>
        </w:rPr>
        <w:t xml:space="preserve">pos_weight, tuned threshold, and per-project metrics stored per run.</w:t>
      </w:r>
    </w:p>
    <w:p>
      <w:pPr>
        <w:pStyle w:val="ListParagraph"/>
        <w:numPr>
          <w:ilvl w:val="0"/>
          <w:numId w:val="3"/>
        </w:numPr>
        <w:spacing w:after="80" w:line="270"/>
      </w:pPr>
      <w:r>
        <w:rPr>
          <w:rFonts w:ascii="Arial" w:cs="Arial" w:eastAsia="Arial" w:hAnsi="Arial"/>
          <w:sz w:val="22"/>
          <w:szCs w:val="22"/>
        </w:rPr>
        <w:t xml:space="preserve">Released: code, configs, pre-processed splits, per-fold/per-seed results JSON, and the table/figure generation scripts.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CrossVul-DG Proposal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CrossVul-DG Research Proposal</dc:title>
  <dc:creator>CrossVul-DG</dc:creator>
  <cp:lastModifiedBy>Un-named</cp:lastModifiedBy>
  <cp:revision>1</cp:revision>
  <dcterms:created xsi:type="dcterms:W3CDTF">2026-06-23T05:00:14.771Z</dcterms:created>
  <dcterms:modified xsi:type="dcterms:W3CDTF">2026-06-23T05:00:14.771Z</dcterms:modified>
</cp:coreProperties>
</file>

<file path=docProps/custom.xml><?xml version="1.0" encoding="utf-8"?>
<Properties xmlns="http://schemas.openxmlformats.org/officeDocument/2006/custom-properties" xmlns:vt="http://schemas.openxmlformats.org/officeDocument/2006/docPropsVTypes"/>
</file>