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Calibri" w:hAnsi="Calibri"/>
          <w:b w:val="0"/>
          <w:color w:val="1F4E79"/>
          <w:sz w:val="48"/>
        </w:rPr>
        <w:t>VisionFlow Project Tooling and Concepts Guide</w:t>
      </w:r>
    </w:p>
    <w:p>
      <w:pPr>
        <w:spacing w:after="240"/>
      </w:pPr>
      <w:r>
        <w:rPr>
          <w:rFonts w:ascii="Calibri" w:hAnsi="Calibri"/>
          <w:color w:val="555555"/>
          <w:sz w:val="21"/>
        </w:rPr>
        <w:t>Prepared from the current repository layout, configuration, and service code in Datasetlab.</w:t>
      </w:r>
    </w:p>
    <w:p>
      <w:pPr>
        <w:pStyle w:val="Heading1"/>
      </w:pPr>
      <w:r>
        <w:t>Executive Summary</w:t>
      </w:r>
    </w:p>
    <w:p>
      <w:r>
        <w:t>VisionFlow is a computer vision platform for dataset management, annotation, training, inference, deployment, and export. The repository shows a multi-service architecture with a React frontend, Python and Node.js backend services, background workers, and ML pipeline code. The design centers on object detection and classification workflows, with MongoDB used as the primary persistence layer and visionflow.conf used to keep runtime settings in one place.</w:t>
      </w:r>
    </w:p>
    <w:p>
      <w:pPr>
        <w:pStyle w:val="Heading1"/>
      </w:pPr>
      <w:r>
        <w:t>Project Overview</w:t>
      </w:r>
    </w:p>
    <w:p>
      <w:pPr>
        <w:pStyle w:val="ListBullet"/>
        <w:spacing w:after="80" w:line="276" w:lineRule="auto"/>
      </w:pPr>
      <w:r>
        <w:t>Frontend app: `apps/web` contains the Vite + React user interface for projects, uploads, annotation, training, deployments, and dashboard views.</w:t>
      </w:r>
    </w:p>
    <w:p>
      <w:pPr>
        <w:pStyle w:val="ListBullet"/>
        <w:spacing w:after="80" w:line="276" w:lineRule="auto"/>
      </w:pPr>
      <w:r>
        <w:t>Service layer: `services/*` contains the API and domain services that manage datasets, projects, authentication, users, billing, notifications, inference, export, annotation, and training.</w:t>
      </w:r>
    </w:p>
    <w:p>
      <w:pPr>
        <w:pStyle w:val="ListBullet"/>
        <w:spacing w:after="80" w:line="276" w:lineRule="auto"/>
      </w:pPr>
      <w:r>
        <w:t>Worker layer: `workers/*` contains background workers for dataset, training, inference, and export jobs so heavy jobs do not block user interactions.</w:t>
      </w:r>
    </w:p>
    <w:p>
      <w:pPr>
        <w:pStyle w:val="ListBullet"/>
        <w:spacing w:after="80" w:line="276" w:lineRule="auto"/>
      </w:pPr>
      <w:r>
        <w:t>ML layer: `ml-platform/*` contains models and pipeline code for training and detection workflows.</w:t>
      </w:r>
    </w:p>
    <w:p>
      <w:pPr>
        <w:pStyle w:val="ListBullet"/>
        <w:spacing w:after="80" w:line="276" w:lineRule="auto"/>
      </w:pPr>
      <w:r>
        <w:t>Data layer: `datasets/*` contains sample dataset artifacts and metadata used for testing and demonstration.</w:t>
      </w:r>
    </w:p>
    <w:p>
      <w:pPr>
        <w:pStyle w:val="Heading2"/>
      </w:pPr>
      <w:r>
        <w:t>Tools Used in VisionFlow</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shd w:fill="E8EEF5"/>
            <w:vAlign w:val="center"/>
          </w:tcPr>
          <w:p>
            <w:pPr>
              <w:spacing w:after="0" w:before="0" w:line="276" w:lineRule="auto"/>
            </w:pPr>
            <w:r>
              <w:rPr>
                <w:rFonts w:ascii="Calibri" w:hAnsi="Calibri"/>
                <w:b/>
                <w:color w:val="1F3A5F"/>
                <w:sz w:val="21"/>
              </w:rPr>
              <w:t>Tool</w:t>
            </w:r>
          </w:p>
        </w:tc>
        <w:tc>
          <w:tcPr>
            <w:tcW w:type="dxa" w:w="3096"/>
            <w:shd w:fill="E8EEF5"/>
            <w:vAlign w:val="center"/>
          </w:tcPr>
          <w:p>
            <w:pPr>
              <w:spacing w:after="0" w:before="0" w:line="276" w:lineRule="auto"/>
            </w:pPr>
            <w:r>
              <w:rPr>
                <w:rFonts w:ascii="Calibri" w:hAnsi="Calibri"/>
                <w:b/>
                <w:color w:val="1F3A5F"/>
                <w:sz w:val="21"/>
              </w:rPr>
              <w:t>Where Used</w:t>
            </w:r>
          </w:p>
        </w:tc>
        <w:tc>
          <w:tcPr>
            <w:tcW w:type="dxa" w:w="3456"/>
            <w:shd w:fill="E8EEF5"/>
            <w:vAlign w:val="center"/>
          </w:tcPr>
          <w:p>
            <w:pPr>
              <w:spacing w:after="0" w:before="0" w:line="276" w:lineRule="auto"/>
            </w:pPr>
            <w:r>
              <w:rPr>
                <w:rFonts w:ascii="Calibri" w:hAnsi="Calibri"/>
                <w:b/>
                <w:color w:val="1F3A5F"/>
                <w:sz w:val="21"/>
              </w:rPr>
              <w:t>What It Does</w:t>
            </w:r>
          </w:p>
        </w:tc>
        <w:tc>
          <w:tcPr>
            <w:tcW w:type="dxa" w:w="1007"/>
            <w:shd w:fill="E8EEF5"/>
            <w:vAlign w:val="center"/>
          </w:tcPr>
          <w:p>
            <w:pPr>
              <w:spacing w:after="0" w:before="0" w:line="276" w:lineRule="auto"/>
            </w:pPr>
            <w:r>
              <w:rPr>
                <w:rFonts w:ascii="Calibri" w:hAnsi="Calibri"/>
                <w:b/>
                <w:color w:val="1F3A5F"/>
                <w:sz w:val="21"/>
              </w:rPr>
              <w:t>Why It Matters</w:t>
            </w:r>
          </w:p>
        </w:tc>
      </w:tr>
      <w:tr>
        <w:tc>
          <w:tcPr>
            <w:tcW w:type="dxa" w:w="1800"/>
            <w:vAlign w:val="center"/>
          </w:tcPr>
          <w:p>
            <w:pPr>
              <w:spacing w:after="0" w:before="0" w:line="276" w:lineRule="auto"/>
            </w:pPr>
            <w:r>
              <w:rPr>
                <w:rFonts w:ascii="Calibri" w:hAnsi="Calibri"/>
                <w:b w:val="0"/>
                <w:color w:val="000000"/>
                <w:sz w:val="20"/>
              </w:rPr>
              <w:t>React 19</w:t>
            </w:r>
          </w:p>
        </w:tc>
        <w:tc>
          <w:tcPr>
            <w:tcW w:type="dxa" w:w="3096"/>
            <w:vAlign w:val="center"/>
          </w:tcPr>
          <w:p>
            <w:pPr>
              <w:spacing w:after="0" w:before="0" w:line="276" w:lineRule="auto"/>
            </w:pPr>
            <w:r>
              <w:rPr>
                <w:rFonts w:ascii="Calibri" w:hAnsi="Calibri"/>
                <w:b w:val="0"/>
                <w:color w:val="000000"/>
                <w:sz w:val="20"/>
              </w:rPr>
              <w:t>apps/web</w:t>
            </w:r>
          </w:p>
        </w:tc>
        <w:tc>
          <w:tcPr>
            <w:tcW w:type="dxa" w:w="3456"/>
            <w:vAlign w:val="center"/>
          </w:tcPr>
          <w:p>
            <w:pPr>
              <w:spacing w:after="0" w:before="0" w:line="276" w:lineRule="auto"/>
            </w:pPr>
            <w:r>
              <w:rPr>
                <w:rFonts w:ascii="Calibri" w:hAnsi="Calibri"/>
                <w:b w:val="0"/>
                <w:color w:val="000000"/>
                <w:sz w:val="20"/>
              </w:rPr>
              <w:t>Builds the user interface and page components for the VisionFlow web app.</w:t>
            </w:r>
          </w:p>
        </w:tc>
        <w:tc>
          <w:tcPr>
            <w:tcW w:type="dxa" w:w="1007"/>
            <w:vAlign w:val="center"/>
          </w:tcPr>
          <w:p>
            <w:pPr>
              <w:spacing w:after="0" w:before="0" w:line="276" w:lineRule="auto"/>
            </w:pPr>
            <w:r>
              <w:rPr>
                <w:rFonts w:ascii="Calibri" w:hAnsi="Calibri"/>
                <w:b w:val="0"/>
                <w:color w:val="000000"/>
                <w:sz w:val="20"/>
              </w:rPr>
              <w:t>Used with React Router for navigation.</w:t>
            </w:r>
          </w:p>
        </w:tc>
      </w:tr>
      <w:tr>
        <w:tc>
          <w:tcPr>
            <w:tcW w:type="dxa" w:w="1800"/>
            <w:vAlign w:val="center"/>
          </w:tcPr>
          <w:p>
            <w:pPr>
              <w:spacing w:after="0" w:before="0" w:line="276" w:lineRule="auto"/>
            </w:pPr>
            <w:r>
              <w:rPr>
                <w:rFonts w:ascii="Calibri" w:hAnsi="Calibri"/>
                <w:b w:val="0"/>
                <w:color w:val="000000"/>
                <w:sz w:val="20"/>
              </w:rPr>
              <w:t>Vite</w:t>
            </w:r>
          </w:p>
        </w:tc>
        <w:tc>
          <w:tcPr>
            <w:tcW w:type="dxa" w:w="3096"/>
            <w:vAlign w:val="center"/>
          </w:tcPr>
          <w:p>
            <w:pPr>
              <w:spacing w:after="0" w:before="0" w:line="276" w:lineRule="auto"/>
            </w:pPr>
            <w:r>
              <w:rPr>
                <w:rFonts w:ascii="Calibri" w:hAnsi="Calibri"/>
                <w:b w:val="0"/>
                <w:color w:val="000000"/>
                <w:sz w:val="20"/>
              </w:rPr>
              <w:t>apps/web/package.json</w:t>
            </w:r>
          </w:p>
        </w:tc>
        <w:tc>
          <w:tcPr>
            <w:tcW w:type="dxa" w:w="3456"/>
            <w:vAlign w:val="center"/>
          </w:tcPr>
          <w:p>
            <w:pPr>
              <w:spacing w:after="0" w:before="0" w:line="276" w:lineRule="auto"/>
            </w:pPr>
            <w:r>
              <w:rPr>
                <w:rFonts w:ascii="Calibri" w:hAnsi="Calibri"/>
                <w:b w:val="0"/>
                <w:color w:val="000000"/>
                <w:sz w:val="20"/>
              </w:rPr>
              <w:t>Serves as the frontend build tool and dev server.</w:t>
            </w:r>
          </w:p>
        </w:tc>
        <w:tc>
          <w:tcPr>
            <w:tcW w:type="dxa" w:w="1007"/>
            <w:vAlign w:val="center"/>
          </w:tcPr>
          <w:p>
            <w:pPr>
              <w:spacing w:after="0" w:before="0" w:line="276" w:lineRule="auto"/>
            </w:pPr>
            <w:r>
              <w:rPr>
                <w:rFonts w:ascii="Calibri" w:hAnsi="Calibri"/>
                <w:b w:val="0"/>
                <w:color w:val="000000"/>
                <w:sz w:val="20"/>
              </w:rPr>
              <w:t>Supports fast iteration and production builds.</w:t>
            </w:r>
          </w:p>
        </w:tc>
      </w:tr>
      <w:tr>
        <w:tc>
          <w:tcPr>
            <w:tcW w:type="dxa" w:w="1800"/>
            <w:vAlign w:val="center"/>
          </w:tcPr>
          <w:p>
            <w:pPr>
              <w:spacing w:after="0" w:before="0" w:line="276" w:lineRule="auto"/>
            </w:pPr>
            <w:r>
              <w:rPr>
                <w:rFonts w:ascii="Calibri" w:hAnsi="Calibri"/>
                <w:b w:val="0"/>
                <w:color w:val="000000"/>
                <w:sz w:val="20"/>
              </w:rPr>
              <w:t>Tailwind CSS</w:t>
            </w:r>
          </w:p>
        </w:tc>
        <w:tc>
          <w:tcPr>
            <w:tcW w:type="dxa" w:w="3096"/>
            <w:vAlign w:val="center"/>
          </w:tcPr>
          <w:p>
            <w:pPr>
              <w:spacing w:after="0" w:before="0" w:line="276" w:lineRule="auto"/>
            </w:pPr>
            <w:r>
              <w:rPr>
                <w:rFonts w:ascii="Calibri" w:hAnsi="Calibri"/>
                <w:b w:val="0"/>
                <w:color w:val="000000"/>
                <w:sz w:val="20"/>
              </w:rPr>
              <w:t>apps/web/tailwind.config.js and src files</w:t>
            </w:r>
          </w:p>
        </w:tc>
        <w:tc>
          <w:tcPr>
            <w:tcW w:type="dxa" w:w="3456"/>
            <w:vAlign w:val="center"/>
          </w:tcPr>
          <w:p>
            <w:pPr>
              <w:spacing w:after="0" w:before="0" w:line="276" w:lineRule="auto"/>
            </w:pPr>
            <w:r>
              <w:rPr>
                <w:rFonts w:ascii="Calibri" w:hAnsi="Calibri"/>
                <w:b w:val="0"/>
                <w:color w:val="000000"/>
                <w:sz w:val="20"/>
              </w:rPr>
              <w:t>Provides utility-first styling for the web UI.</w:t>
            </w:r>
          </w:p>
        </w:tc>
        <w:tc>
          <w:tcPr>
            <w:tcW w:type="dxa" w:w="1007"/>
            <w:vAlign w:val="center"/>
          </w:tcPr>
          <w:p>
            <w:pPr>
              <w:spacing w:after="0" w:before="0" w:line="276" w:lineRule="auto"/>
            </w:pPr>
            <w:r>
              <w:rPr>
                <w:rFonts w:ascii="Calibri" w:hAnsi="Calibri"/>
                <w:b w:val="0"/>
                <w:color w:val="000000"/>
                <w:sz w:val="20"/>
              </w:rPr>
              <w:t>Used for layout, spacing, and responsive design.</w:t>
            </w:r>
          </w:p>
        </w:tc>
      </w:tr>
      <w:tr>
        <w:tc>
          <w:tcPr>
            <w:tcW w:type="dxa" w:w="1800"/>
            <w:vAlign w:val="center"/>
          </w:tcPr>
          <w:p>
            <w:pPr>
              <w:spacing w:after="0" w:before="0" w:line="276" w:lineRule="auto"/>
            </w:pPr>
            <w:r>
              <w:rPr>
                <w:rFonts w:ascii="Calibri" w:hAnsi="Calibri"/>
                <w:b w:val="0"/>
                <w:color w:val="000000"/>
                <w:sz w:val="20"/>
              </w:rPr>
              <w:t>Framer Motion</w:t>
            </w:r>
          </w:p>
        </w:tc>
        <w:tc>
          <w:tcPr>
            <w:tcW w:type="dxa" w:w="3096"/>
            <w:vAlign w:val="center"/>
          </w:tcPr>
          <w:p>
            <w:pPr>
              <w:spacing w:after="0" w:before="0" w:line="276" w:lineRule="auto"/>
            </w:pPr>
            <w:r>
              <w:rPr>
                <w:rFonts w:ascii="Calibri" w:hAnsi="Calibri"/>
                <w:b w:val="0"/>
                <w:color w:val="000000"/>
                <w:sz w:val="20"/>
              </w:rPr>
              <w:t>apps/web/package.json</w:t>
            </w:r>
          </w:p>
        </w:tc>
        <w:tc>
          <w:tcPr>
            <w:tcW w:type="dxa" w:w="3456"/>
            <w:vAlign w:val="center"/>
          </w:tcPr>
          <w:p>
            <w:pPr>
              <w:spacing w:after="0" w:before="0" w:line="276" w:lineRule="auto"/>
            </w:pPr>
            <w:r>
              <w:rPr>
                <w:rFonts w:ascii="Calibri" w:hAnsi="Calibri"/>
                <w:b w:val="0"/>
                <w:color w:val="000000"/>
                <w:sz w:val="20"/>
              </w:rPr>
              <w:t>Adds motion and animation to the frontend.</w:t>
            </w:r>
          </w:p>
        </w:tc>
        <w:tc>
          <w:tcPr>
            <w:tcW w:type="dxa" w:w="1007"/>
            <w:vAlign w:val="center"/>
          </w:tcPr>
          <w:p>
            <w:pPr>
              <w:spacing w:after="0" w:before="0" w:line="276" w:lineRule="auto"/>
            </w:pPr>
            <w:r>
              <w:rPr>
                <w:rFonts w:ascii="Calibri" w:hAnsi="Calibri"/>
                <w:b w:val="0"/>
                <w:color w:val="000000"/>
                <w:sz w:val="20"/>
              </w:rPr>
              <w:t>Useful for polished transitions and UI feedback.</w:t>
            </w:r>
          </w:p>
        </w:tc>
      </w:tr>
      <w:tr>
        <w:tc>
          <w:tcPr>
            <w:tcW w:type="dxa" w:w="1800"/>
            <w:vAlign w:val="center"/>
          </w:tcPr>
          <w:p>
            <w:pPr>
              <w:spacing w:after="0" w:before="0" w:line="276" w:lineRule="auto"/>
            </w:pPr>
            <w:r>
              <w:rPr>
                <w:rFonts w:ascii="Calibri" w:hAnsi="Calibri"/>
                <w:b w:val="0"/>
                <w:color w:val="000000"/>
                <w:sz w:val="20"/>
              </w:rPr>
              <w:t>Lucide React</w:t>
            </w:r>
          </w:p>
        </w:tc>
        <w:tc>
          <w:tcPr>
            <w:tcW w:type="dxa" w:w="3096"/>
            <w:vAlign w:val="center"/>
          </w:tcPr>
          <w:p>
            <w:pPr>
              <w:spacing w:after="0" w:before="0" w:line="276" w:lineRule="auto"/>
            </w:pPr>
            <w:r>
              <w:rPr>
                <w:rFonts w:ascii="Calibri" w:hAnsi="Calibri"/>
                <w:b w:val="0"/>
                <w:color w:val="000000"/>
                <w:sz w:val="20"/>
              </w:rPr>
              <w:t>apps/web/package.json</w:t>
            </w:r>
          </w:p>
        </w:tc>
        <w:tc>
          <w:tcPr>
            <w:tcW w:type="dxa" w:w="3456"/>
            <w:vAlign w:val="center"/>
          </w:tcPr>
          <w:p>
            <w:pPr>
              <w:spacing w:after="0" w:before="0" w:line="276" w:lineRule="auto"/>
            </w:pPr>
            <w:r>
              <w:rPr>
                <w:rFonts w:ascii="Calibri" w:hAnsi="Calibri"/>
                <w:b w:val="0"/>
                <w:color w:val="000000"/>
                <w:sz w:val="20"/>
              </w:rPr>
              <w:t>Provides iconography for the interface.</w:t>
            </w:r>
          </w:p>
        </w:tc>
        <w:tc>
          <w:tcPr>
            <w:tcW w:type="dxa" w:w="1007"/>
            <w:vAlign w:val="center"/>
          </w:tcPr>
          <w:p>
            <w:pPr>
              <w:spacing w:after="0" w:before="0" w:line="276" w:lineRule="auto"/>
            </w:pPr>
            <w:r>
              <w:rPr>
                <w:rFonts w:ascii="Calibri" w:hAnsi="Calibri"/>
                <w:b w:val="0"/>
                <w:color w:val="000000"/>
                <w:sz w:val="20"/>
              </w:rPr>
              <w:t>Used across controls and navigation.</w:t>
            </w:r>
          </w:p>
        </w:tc>
      </w:tr>
      <w:tr>
        <w:tc>
          <w:tcPr>
            <w:tcW w:type="dxa" w:w="1800"/>
            <w:vAlign w:val="center"/>
          </w:tcPr>
          <w:p>
            <w:pPr>
              <w:spacing w:after="0" w:before="0" w:line="276" w:lineRule="auto"/>
            </w:pPr>
            <w:r>
              <w:rPr>
                <w:rFonts w:ascii="Calibri" w:hAnsi="Calibri"/>
                <w:b w:val="0"/>
                <w:color w:val="000000"/>
                <w:sz w:val="20"/>
              </w:rPr>
              <w:t>TensorFlow.js</w:t>
            </w:r>
          </w:p>
        </w:tc>
        <w:tc>
          <w:tcPr>
            <w:tcW w:type="dxa" w:w="3096"/>
            <w:vAlign w:val="center"/>
          </w:tcPr>
          <w:p>
            <w:pPr>
              <w:spacing w:after="0" w:before="0" w:line="276" w:lineRule="auto"/>
            </w:pPr>
            <w:r>
              <w:rPr>
                <w:rFonts w:ascii="Calibri" w:hAnsi="Calibri"/>
                <w:b w:val="0"/>
                <w:color w:val="000000"/>
                <w:sz w:val="20"/>
              </w:rPr>
              <w:t>apps/web/package.json</w:t>
            </w:r>
          </w:p>
        </w:tc>
        <w:tc>
          <w:tcPr>
            <w:tcW w:type="dxa" w:w="3456"/>
            <w:vAlign w:val="center"/>
          </w:tcPr>
          <w:p>
            <w:pPr>
              <w:spacing w:after="0" w:before="0" w:line="276" w:lineRule="auto"/>
            </w:pPr>
            <w:r>
              <w:rPr>
                <w:rFonts w:ascii="Calibri" w:hAnsi="Calibri"/>
                <w:b w:val="0"/>
                <w:color w:val="000000"/>
                <w:sz w:val="20"/>
              </w:rPr>
              <w:t>Enables client-side vision model features in the browser.</w:t>
            </w:r>
          </w:p>
        </w:tc>
        <w:tc>
          <w:tcPr>
            <w:tcW w:type="dxa" w:w="1007"/>
            <w:vAlign w:val="center"/>
          </w:tcPr>
          <w:p>
            <w:pPr>
              <w:spacing w:after="0" w:before="0" w:line="276" w:lineRule="auto"/>
            </w:pPr>
            <w:r>
              <w:rPr>
                <w:rFonts w:ascii="Calibri" w:hAnsi="Calibri"/>
                <w:b w:val="0"/>
                <w:color w:val="000000"/>
                <w:sz w:val="20"/>
              </w:rPr>
              <w:t>Supported by COCO-SSD and MobileNet packages.</w:t>
            </w:r>
          </w:p>
        </w:tc>
      </w:tr>
      <w:tr>
        <w:tc>
          <w:tcPr>
            <w:tcW w:type="dxa" w:w="1800"/>
            <w:vAlign w:val="center"/>
          </w:tcPr>
          <w:p>
            <w:pPr>
              <w:spacing w:after="0" w:before="0" w:line="276" w:lineRule="auto"/>
            </w:pPr>
            <w:r>
              <w:rPr>
                <w:rFonts w:ascii="Calibri" w:hAnsi="Calibri"/>
                <w:b w:val="0"/>
                <w:color w:val="000000"/>
                <w:sz w:val="20"/>
              </w:rPr>
              <w:t>Flask</w:t>
            </w:r>
          </w:p>
        </w:tc>
        <w:tc>
          <w:tcPr>
            <w:tcW w:type="dxa" w:w="3096"/>
            <w:vAlign w:val="center"/>
          </w:tcPr>
          <w:p>
            <w:pPr>
              <w:spacing w:after="0" w:before="0" w:line="276" w:lineRule="auto"/>
            </w:pPr>
            <w:r>
              <w:rPr>
                <w:rFonts w:ascii="Calibri" w:hAnsi="Calibri"/>
                <w:b w:val="0"/>
                <w:color w:val="000000"/>
                <w:sz w:val="20"/>
              </w:rPr>
              <w:t>services/dataset_service/app.py</w:t>
            </w:r>
          </w:p>
        </w:tc>
        <w:tc>
          <w:tcPr>
            <w:tcW w:type="dxa" w:w="3456"/>
            <w:vAlign w:val="center"/>
          </w:tcPr>
          <w:p>
            <w:pPr>
              <w:spacing w:after="0" w:before="0" w:line="276" w:lineRule="auto"/>
            </w:pPr>
            <w:r>
              <w:rPr>
                <w:rFonts w:ascii="Calibri" w:hAnsi="Calibri"/>
                <w:b w:val="0"/>
                <w:color w:val="000000"/>
                <w:sz w:val="20"/>
              </w:rPr>
              <w:t>Provides the dataset service API in Python.</w:t>
            </w:r>
          </w:p>
        </w:tc>
        <w:tc>
          <w:tcPr>
            <w:tcW w:type="dxa" w:w="1007"/>
            <w:vAlign w:val="center"/>
          </w:tcPr>
          <w:p>
            <w:pPr>
              <w:spacing w:after="0" w:before="0" w:line="276" w:lineRule="auto"/>
            </w:pPr>
            <w:r>
              <w:rPr>
                <w:rFonts w:ascii="Calibri" w:hAnsi="Calibri"/>
                <w:b w:val="0"/>
                <w:color w:val="000000"/>
                <w:sz w:val="20"/>
              </w:rPr>
              <w:t>Registers blueprints and serves upload endpoints.</w:t>
            </w:r>
          </w:p>
        </w:tc>
      </w:tr>
      <w:tr>
        <w:tc>
          <w:tcPr>
            <w:tcW w:type="dxa" w:w="1800"/>
            <w:vAlign w:val="center"/>
          </w:tcPr>
          <w:p>
            <w:pPr>
              <w:spacing w:after="0" w:before="0" w:line="276" w:lineRule="auto"/>
            </w:pPr>
            <w:r>
              <w:rPr>
                <w:rFonts w:ascii="Calibri" w:hAnsi="Calibri"/>
                <w:b w:val="0"/>
                <w:color w:val="000000"/>
                <w:sz w:val="20"/>
              </w:rPr>
              <w:t>Flask-CORS</w:t>
            </w:r>
          </w:p>
        </w:tc>
        <w:tc>
          <w:tcPr>
            <w:tcW w:type="dxa" w:w="3096"/>
            <w:vAlign w:val="center"/>
          </w:tcPr>
          <w:p>
            <w:pPr>
              <w:spacing w:after="0" w:before="0" w:line="276" w:lineRule="auto"/>
            </w:pPr>
            <w:r>
              <w:rPr>
                <w:rFonts w:ascii="Calibri" w:hAnsi="Calibri"/>
                <w:b w:val="0"/>
                <w:color w:val="000000"/>
                <w:sz w:val="20"/>
              </w:rPr>
              <w:t>services/dataset_service/app.py</w:t>
            </w:r>
          </w:p>
        </w:tc>
        <w:tc>
          <w:tcPr>
            <w:tcW w:type="dxa" w:w="3456"/>
            <w:vAlign w:val="center"/>
          </w:tcPr>
          <w:p>
            <w:pPr>
              <w:spacing w:after="0" w:before="0" w:line="276" w:lineRule="auto"/>
            </w:pPr>
            <w:r>
              <w:rPr>
                <w:rFonts w:ascii="Calibri" w:hAnsi="Calibri"/>
                <w:b w:val="0"/>
                <w:color w:val="000000"/>
                <w:sz w:val="20"/>
              </w:rPr>
              <w:t>Enables cross-origin requests from the frontend.</w:t>
            </w:r>
          </w:p>
        </w:tc>
        <w:tc>
          <w:tcPr>
            <w:tcW w:type="dxa" w:w="1007"/>
            <w:vAlign w:val="center"/>
          </w:tcPr>
          <w:p>
            <w:pPr>
              <w:spacing w:after="0" w:before="0" w:line="276" w:lineRule="auto"/>
            </w:pPr>
            <w:r>
              <w:rPr>
                <w:rFonts w:ascii="Calibri" w:hAnsi="Calibri"/>
                <w:b w:val="0"/>
                <w:color w:val="000000"/>
                <w:sz w:val="20"/>
              </w:rPr>
              <w:t>Required for browser-to-API communication.</w:t>
            </w:r>
          </w:p>
        </w:tc>
      </w:tr>
      <w:tr>
        <w:tc>
          <w:tcPr>
            <w:tcW w:type="dxa" w:w="1800"/>
            <w:vAlign w:val="center"/>
          </w:tcPr>
          <w:p>
            <w:pPr>
              <w:spacing w:after="0" w:before="0" w:line="276" w:lineRule="auto"/>
            </w:pPr>
            <w:r>
              <w:rPr>
                <w:rFonts w:ascii="Calibri" w:hAnsi="Calibri"/>
                <w:b w:val="0"/>
                <w:color w:val="000000"/>
                <w:sz w:val="20"/>
              </w:rPr>
              <w:t>GridFS</w:t>
            </w:r>
          </w:p>
        </w:tc>
        <w:tc>
          <w:tcPr>
            <w:tcW w:type="dxa" w:w="3096"/>
            <w:vAlign w:val="center"/>
          </w:tcPr>
          <w:p>
            <w:pPr>
              <w:spacing w:after="0" w:before="0" w:line="276" w:lineRule="auto"/>
            </w:pPr>
            <w:r>
              <w:rPr>
                <w:rFonts w:ascii="Calibri" w:hAnsi="Calibri"/>
                <w:b w:val="0"/>
                <w:color w:val="000000"/>
                <w:sz w:val="20"/>
              </w:rPr>
              <w:t>services/dataset_service/app.py and services/project_service_node/server.js</w:t>
            </w:r>
          </w:p>
        </w:tc>
        <w:tc>
          <w:tcPr>
            <w:tcW w:type="dxa" w:w="3456"/>
            <w:vAlign w:val="center"/>
          </w:tcPr>
          <w:p>
            <w:pPr>
              <w:spacing w:after="0" w:before="0" w:line="276" w:lineRule="auto"/>
            </w:pPr>
            <w:r>
              <w:rPr>
                <w:rFonts w:ascii="Calibri" w:hAnsi="Calibri"/>
                <w:b w:val="0"/>
                <w:color w:val="000000"/>
                <w:sz w:val="20"/>
              </w:rPr>
              <w:t>Stores larger asset files in MongoDB.</w:t>
            </w:r>
          </w:p>
        </w:tc>
        <w:tc>
          <w:tcPr>
            <w:tcW w:type="dxa" w:w="1007"/>
            <w:vAlign w:val="center"/>
          </w:tcPr>
          <w:p>
            <w:pPr>
              <w:spacing w:after="0" w:before="0" w:line="276" w:lineRule="auto"/>
            </w:pPr>
            <w:r>
              <w:rPr>
                <w:rFonts w:ascii="Calibri" w:hAnsi="Calibri"/>
                <w:b w:val="0"/>
                <w:color w:val="000000"/>
                <w:sz w:val="20"/>
              </w:rPr>
              <w:t>Used when assets are served by file reference instead of filesystem path.</w:t>
            </w:r>
          </w:p>
        </w:tc>
      </w:tr>
      <w:tr>
        <w:tc>
          <w:tcPr>
            <w:tcW w:type="dxa" w:w="1800"/>
            <w:vAlign w:val="center"/>
          </w:tcPr>
          <w:p>
            <w:pPr>
              <w:spacing w:after="0" w:before="0" w:line="276" w:lineRule="auto"/>
            </w:pPr>
            <w:r>
              <w:rPr>
                <w:rFonts w:ascii="Calibri" w:hAnsi="Calibri"/>
                <w:b w:val="0"/>
                <w:color w:val="000000"/>
                <w:sz w:val="20"/>
              </w:rPr>
              <w:t>MongoDB</w:t>
            </w:r>
          </w:p>
        </w:tc>
        <w:tc>
          <w:tcPr>
            <w:tcW w:type="dxa" w:w="3096"/>
            <w:vAlign w:val="center"/>
          </w:tcPr>
          <w:p>
            <w:pPr>
              <w:spacing w:after="0" w:before="0" w:line="276" w:lineRule="auto"/>
            </w:pPr>
            <w:r>
              <w:rPr>
                <w:rFonts w:ascii="Calibri" w:hAnsi="Calibri"/>
                <w:b w:val="0"/>
                <w:color w:val="000000"/>
                <w:sz w:val="20"/>
              </w:rPr>
              <w:t>visionflow.conf and services/*</w:t>
            </w:r>
          </w:p>
        </w:tc>
        <w:tc>
          <w:tcPr>
            <w:tcW w:type="dxa" w:w="3456"/>
            <w:vAlign w:val="center"/>
          </w:tcPr>
          <w:p>
            <w:pPr>
              <w:spacing w:after="0" w:before="0" w:line="276" w:lineRule="auto"/>
            </w:pPr>
            <w:r>
              <w:rPr>
                <w:rFonts w:ascii="Calibri" w:hAnsi="Calibri"/>
                <w:b w:val="0"/>
                <w:color w:val="000000"/>
                <w:sz w:val="20"/>
              </w:rPr>
              <w:t>Acts as the main data store for projects, datasets, assets, jobs, metrics, and telemetry.</w:t>
            </w:r>
          </w:p>
        </w:tc>
        <w:tc>
          <w:tcPr>
            <w:tcW w:type="dxa" w:w="1007"/>
            <w:vAlign w:val="center"/>
          </w:tcPr>
          <w:p>
            <w:pPr>
              <w:spacing w:after="0" w:before="0" w:line="276" w:lineRule="auto"/>
            </w:pPr>
            <w:r>
              <w:rPr>
                <w:rFonts w:ascii="Calibri" w:hAnsi="Calibri"/>
                <w:b w:val="0"/>
                <w:color w:val="000000"/>
                <w:sz w:val="20"/>
              </w:rPr>
              <w:t>Configured centrally through MONGO_URI.</w:t>
            </w:r>
          </w:p>
        </w:tc>
      </w:tr>
      <w:tr>
        <w:tc>
          <w:tcPr>
            <w:tcW w:type="dxa" w:w="1800"/>
            <w:vAlign w:val="center"/>
          </w:tcPr>
          <w:p>
            <w:pPr>
              <w:spacing w:after="0" w:before="0" w:line="276" w:lineRule="auto"/>
            </w:pPr>
            <w:r>
              <w:rPr>
                <w:rFonts w:ascii="Calibri" w:hAnsi="Calibri"/>
                <w:b w:val="0"/>
                <w:color w:val="000000"/>
                <w:sz w:val="20"/>
              </w:rPr>
              <w:t>Express</w:t>
            </w:r>
          </w:p>
        </w:tc>
        <w:tc>
          <w:tcPr>
            <w:tcW w:type="dxa" w:w="3096"/>
            <w:vAlign w:val="center"/>
          </w:tcPr>
          <w:p>
            <w:pPr>
              <w:spacing w:after="0" w:before="0" w:line="276" w:lineRule="auto"/>
            </w:pPr>
            <w:r>
              <w:rPr>
                <w:rFonts w:ascii="Calibri" w:hAnsi="Calibri"/>
                <w:b w:val="0"/>
                <w:color w:val="000000"/>
                <w:sz w:val="20"/>
              </w:rPr>
              <w:t>services/project_service_node/server.js</w:t>
            </w:r>
          </w:p>
        </w:tc>
        <w:tc>
          <w:tcPr>
            <w:tcW w:type="dxa" w:w="3456"/>
            <w:vAlign w:val="center"/>
          </w:tcPr>
          <w:p>
            <w:pPr>
              <w:spacing w:after="0" w:before="0" w:line="276" w:lineRule="auto"/>
            </w:pPr>
            <w:r>
              <w:rPr>
                <w:rFonts w:ascii="Calibri" w:hAnsi="Calibri"/>
                <w:b w:val="0"/>
                <w:color w:val="000000"/>
                <w:sz w:val="20"/>
              </w:rPr>
              <w:t>Implements a Node.js service layer for projects and telemetry.</w:t>
            </w:r>
          </w:p>
        </w:tc>
        <w:tc>
          <w:tcPr>
            <w:tcW w:type="dxa" w:w="1007"/>
            <w:vAlign w:val="center"/>
          </w:tcPr>
          <w:p>
            <w:pPr>
              <w:spacing w:after="0" w:before="0" w:line="276" w:lineRule="auto"/>
            </w:pPr>
            <w:r>
              <w:rPr>
                <w:rFonts w:ascii="Calibri" w:hAnsi="Calibri"/>
                <w:b w:val="0"/>
                <w:color w:val="000000"/>
                <w:sz w:val="20"/>
              </w:rPr>
              <w:t>Handles API routes, SSE, and uploads.</w:t>
            </w:r>
          </w:p>
        </w:tc>
      </w:tr>
      <w:tr>
        <w:tc>
          <w:tcPr>
            <w:tcW w:type="dxa" w:w="1800"/>
            <w:vAlign w:val="center"/>
          </w:tcPr>
          <w:p>
            <w:pPr>
              <w:spacing w:after="0" w:before="0" w:line="276" w:lineRule="auto"/>
            </w:pPr>
            <w:r>
              <w:rPr>
                <w:rFonts w:ascii="Calibri" w:hAnsi="Calibri"/>
                <w:b w:val="0"/>
                <w:color w:val="000000"/>
                <w:sz w:val="20"/>
              </w:rPr>
              <w:t>Multer</w:t>
            </w:r>
          </w:p>
        </w:tc>
        <w:tc>
          <w:tcPr>
            <w:tcW w:type="dxa" w:w="3096"/>
            <w:vAlign w:val="center"/>
          </w:tcPr>
          <w:p>
            <w:pPr>
              <w:spacing w:after="0" w:before="0" w:line="276" w:lineRule="auto"/>
            </w:pPr>
            <w:r>
              <w:rPr>
                <w:rFonts w:ascii="Calibri" w:hAnsi="Calibri"/>
                <w:b w:val="0"/>
                <w:color w:val="000000"/>
                <w:sz w:val="20"/>
              </w:rPr>
              <w:t>services/project_service_node/server.js</w:t>
            </w:r>
          </w:p>
        </w:tc>
        <w:tc>
          <w:tcPr>
            <w:tcW w:type="dxa" w:w="3456"/>
            <w:vAlign w:val="center"/>
          </w:tcPr>
          <w:p>
            <w:pPr>
              <w:spacing w:after="0" w:before="0" w:line="276" w:lineRule="auto"/>
            </w:pPr>
            <w:r>
              <w:rPr>
                <w:rFonts w:ascii="Calibri" w:hAnsi="Calibri"/>
                <w:b w:val="0"/>
                <w:color w:val="000000"/>
                <w:sz w:val="20"/>
              </w:rPr>
              <w:t>Handles file upload buffering in the project service.</w:t>
            </w:r>
          </w:p>
        </w:tc>
        <w:tc>
          <w:tcPr>
            <w:tcW w:type="dxa" w:w="1007"/>
            <w:vAlign w:val="center"/>
          </w:tcPr>
          <w:p>
            <w:pPr>
              <w:spacing w:after="0" w:before="0" w:line="276" w:lineRule="auto"/>
            </w:pPr>
            <w:r>
              <w:rPr>
                <w:rFonts w:ascii="Calibri" w:hAnsi="Calibri"/>
                <w:b w:val="0"/>
                <w:color w:val="000000"/>
                <w:sz w:val="20"/>
              </w:rPr>
              <w:t>Used for large project asset uploads.</w:t>
            </w:r>
          </w:p>
        </w:tc>
      </w:tr>
      <w:tr>
        <w:tc>
          <w:tcPr>
            <w:tcW w:type="dxa" w:w="1800"/>
            <w:vAlign w:val="center"/>
          </w:tcPr>
          <w:p>
            <w:pPr>
              <w:spacing w:after="0" w:before="0" w:line="276" w:lineRule="auto"/>
            </w:pPr>
            <w:r>
              <w:rPr>
                <w:rFonts w:ascii="Calibri" w:hAnsi="Calibri"/>
                <w:b w:val="0"/>
                <w:color w:val="000000"/>
                <w:sz w:val="20"/>
              </w:rPr>
              <w:t>YOLO tooling</w:t>
            </w:r>
          </w:p>
        </w:tc>
        <w:tc>
          <w:tcPr>
            <w:tcW w:type="dxa" w:w="3096"/>
            <w:vAlign w:val="center"/>
          </w:tcPr>
          <w:p>
            <w:pPr>
              <w:spacing w:after="0" w:before="0" w:line="276" w:lineRule="auto"/>
            </w:pPr>
            <w:r>
              <w:rPr>
                <w:rFonts w:ascii="Calibri" w:hAnsi="Calibri"/>
                <w:b w:val="0"/>
                <w:color w:val="000000"/>
                <w:sz w:val="20"/>
              </w:rPr>
              <w:t>ml-platform/models/detection/yolo.py and visionflow.conf</w:t>
            </w:r>
          </w:p>
        </w:tc>
        <w:tc>
          <w:tcPr>
            <w:tcW w:type="dxa" w:w="3456"/>
            <w:vAlign w:val="center"/>
          </w:tcPr>
          <w:p>
            <w:pPr>
              <w:spacing w:after="0" w:before="0" w:line="276" w:lineRule="auto"/>
            </w:pPr>
            <w:r>
              <w:rPr>
                <w:rFonts w:ascii="Calibri" w:hAnsi="Calibri"/>
                <w:b w:val="0"/>
                <w:color w:val="000000"/>
                <w:sz w:val="20"/>
              </w:rPr>
              <w:t>Provides object detection model support.</w:t>
            </w:r>
          </w:p>
        </w:tc>
        <w:tc>
          <w:tcPr>
            <w:tcW w:type="dxa" w:w="1007"/>
            <w:vAlign w:val="center"/>
          </w:tcPr>
          <w:p>
            <w:pPr>
              <w:spacing w:after="0" w:before="0" w:line="276" w:lineRule="auto"/>
            </w:pPr>
            <w:r>
              <w:rPr>
                <w:rFonts w:ascii="Calibri" w:hAnsi="Calibri"/>
                <w:b w:val="0"/>
                <w:color w:val="000000"/>
                <w:sz w:val="20"/>
              </w:rPr>
              <w:t>The config points to YOLO-based training defaults.</w:t>
            </w:r>
          </w:p>
        </w:tc>
      </w:tr>
      <w:tr>
        <w:tc>
          <w:tcPr>
            <w:tcW w:type="dxa" w:w="1800"/>
            <w:vAlign w:val="center"/>
          </w:tcPr>
          <w:p>
            <w:pPr>
              <w:spacing w:after="0" w:before="0" w:line="276" w:lineRule="auto"/>
            </w:pPr>
            <w:r>
              <w:rPr>
                <w:rFonts w:ascii="Calibri" w:hAnsi="Calibri"/>
                <w:b w:val="0"/>
                <w:color w:val="000000"/>
                <w:sz w:val="20"/>
              </w:rPr>
              <w:t>Docker / Docker Compose</w:t>
            </w:r>
          </w:p>
        </w:tc>
        <w:tc>
          <w:tcPr>
            <w:tcW w:type="dxa" w:w="3096"/>
            <w:vAlign w:val="center"/>
          </w:tcPr>
          <w:p>
            <w:pPr>
              <w:spacing w:after="0" w:before="0" w:line="276" w:lineRule="auto"/>
            </w:pPr>
            <w:r>
              <w:rPr>
                <w:rFonts w:ascii="Calibri" w:hAnsi="Calibri"/>
                <w:b w:val="0"/>
                <w:color w:val="000000"/>
                <w:sz w:val="20"/>
              </w:rPr>
              <w:t>Dockerfiles and docker-compose.yml</w:t>
            </w:r>
          </w:p>
        </w:tc>
        <w:tc>
          <w:tcPr>
            <w:tcW w:type="dxa" w:w="3456"/>
            <w:vAlign w:val="center"/>
          </w:tcPr>
          <w:p>
            <w:pPr>
              <w:spacing w:after="0" w:before="0" w:line="276" w:lineRule="auto"/>
            </w:pPr>
            <w:r>
              <w:rPr>
                <w:rFonts w:ascii="Calibri" w:hAnsi="Calibri"/>
                <w:b w:val="0"/>
                <w:color w:val="000000"/>
                <w:sz w:val="20"/>
              </w:rPr>
              <w:t>Containerizes the services for local or server deployment.</w:t>
            </w:r>
          </w:p>
        </w:tc>
        <w:tc>
          <w:tcPr>
            <w:tcW w:type="dxa" w:w="1007"/>
            <w:vAlign w:val="center"/>
          </w:tcPr>
          <w:p>
            <w:pPr>
              <w:spacing w:after="0" w:before="0" w:line="276" w:lineRule="auto"/>
            </w:pPr>
            <w:r>
              <w:rPr>
                <w:rFonts w:ascii="Calibri" w:hAnsi="Calibri"/>
                <w:b w:val="0"/>
                <w:color w:val="000000"/>
                <w:sz w:val="20"/>
              </w:rPr>
              <w:t>Standardizes runtime environments.</w:t>
            </w:r>
          </w:p>
        </w:tc>
      </w:tr>
    </w:tbl>
    <w:p/>
    <w:p>
      <w:pPr>
        <w:pStyle w:val="Heading2"/>
      </w:pPr>
      <w:r>
        <w:t>Core Concepts Used in the Project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shd w:fill="E8EEF5"/>
            <w:vAlign w:val="center"/>
          </w:tcPr>
          <w:p>
            <w:pPr>
              <w:spacing w:after="0" w:before="0" w:line="276" w:lineRule="auto"/>
            </w:pPr>
            <w:r>
              <w:rPr>
                <w:rFonts w:ascii="Calibri" w:hAnsi="Calibri"/>
                <w:b/>
                <w:color w:val="1F3A5F"/>
                <w:sz w:val="21"/>
              </w:rPr>
              <w:t>Concept</w:t>
            </w:r>
          </w:p>
        </w:tc>
        <w:tc>
          <w:tcPr>
            <w:tcW w:type="dxa" w:w="3240"/>
            <w:shd w:fill="E8EEF5"/>
            <w:vAlign w:val="center"/>
          </w:tcPr>
          <w:p>
            <w:pPr>
              <w:spacing w:after="0" w:before="0" w:line="276" w:lineRule="auto"/>
            </w:pPr>
            <w:r>
              <w:rPr>
                <w:rFonts w:ascii="Calibri" w:hAnsi="Calibri"/>
                <w:b/>
                <w:color w:val="1F3A5F"/>
                <w:sz w:val="21"/>
              </w:rPr>
              <w:t>Where It Appears</w:t>
            </w:r>
          </w:p>
        </w:tc>
        <w:tc>
          <w:tcPr>
            <w:tcW w:type="dxa" w:w="3816"/>
            <w:shd w:fill="E8EEF5"/>
            <w:vAlign w:val="center"/>
          </w:tcPr>
          <w:p>
            <w:pPr>
              <w:spacing w:after="0" w:before="0" w:line="276" w:lineRule="auto"/>
            </w:pPr>
            <w:r>
              <w:rPr>
                <w:rFonts w:ascii="Calibri" w:hAnsi="Calibri"/>
                <w:b/>
                <w:color w:val="1F3A5F"/>
                <w:sz w:val="21"/>
              </w:rPr>
              <w:t>How It Is Used</w:t>
            </w:r>
          </w:p>
        </w:tc>
      </w:tr>
      <w:tr>
        <w:tc>
          <w:tcPr>
            <w:tcW w:type="dxa" w:w="2304"/>
            <w:vAlign w:val="center"/>
          </w:tcPr>
          <w:p>
            <w:pPr>
              <w:spacing w:after="0" w:before="0" w:line="276" w:lineRule="auto"/>
            </w:pPr>
            <w:r>
              <w:rPr>
                <w:rFonts w:ascii="Calibri" w:hAnsi="Calibri"/>
                <w:b w:val="0"/>
                <w:color w:val="000000"/>
                <w:sz w:val="20"/>
              </w:rPr>
              <w:t>Microservices architecture</w:t>
            </w:r>
          </w:p>
        </w:tc>
        <w:tc>
          <w:tcPr>
            <w:tcW w:type="dxa" w:w="3240"/>
            <w:vAlign w:val="center"/>
          </w:tcPr>
          <w:p>
            <w:pPr>
              <w:spacing w:after="0" w:before="0" w:line="276" w:lineRule="auto"/>
            </w:pPr>
            <w:r>
              <w:rPr>
                <w:rFonts w:ascii="Calibri" w:hAnsi="Calibri"/>
                <w:b w:val="0"/>
                <w:color w:val="000000"/>
                <w:sz w:val="20"/>
              </w:rPr>
              <w:t>services/*, workers/*, api-gateway, docker-compose.yml</w:t>
            </w:r>
          </w:p>
        </w:tc>
        <w:tc>
          <w:tcPr>
            <w:tcW w:type="dxa" w:w="3816"/>
            <w:vAlign w:val="center"/>
          </w:tcPr>
          <w:p>
            <w:pPr>
              <w:spacing w:after="0" w:before="0" w:line="276" w:lineRule="auto"/>
            </w:pPr>
            <w:r>
              <w:rPr>
                <w:rFonts w:ascii="Calibri" w:hAnsi="Calibri"/>
                <w:b w:val="0"/>
                <w:color w:val="000000"/>
                <w:sz w:val="20"/>
              </w:rPr>
              <w:t>The platform is split into focused services so dataset, project, auth, training, inference, export, and notification concerns stay isolated.</w:t>
            </w:r>
          </w:p>
        </w:tc>
      </w:tr>
      <w:tr>
        <w:tc>
          <w:tcPr>
            <w:tcW w:type="dxa" w:w="2304"/>
            <w:vAlign w:val="center"/>
          </w:tcPr>
          <w:p>
            <w:pPr>
              <w:spacing w:after="0" w:before="0" w:line="276" w:lineRule="auto"/>
            </w:pPr>
            <w:r>
              <w:rPr>
                <w:rFonts w:ascii="Calibri" w:hAnsi="Calibri"/>
                <w:b w:val="0"/>
                <w:color w:val="000000"/>
                <w:sz w:val="20"/>
              </w:rPr>
              <w:t>Client-server SPA</w:t>
            </w:r>
          </w:p>
        </w:tc>
        <w:tc>
          <w:tcPr>
            <w:tcW w:type="dxa" w:w="3240"/>
            <w:vAlign w:val="center"/>
          </w:tcPr>
          <w:p>
            <w:pPr>
              <w:spacing w:after="0" w:before="0" w:line="276" w:lineRule="auto"/>
            </w:pPr>
            <w:r>
              <w:rPr>
                <w:rFonts w:ascii="Calibri" w:hAnsi="Calibri"/>
                <w:b w:val="0"/>
                <w:color w:val="000000"/>
                <w:sz w:val="20"/>
              </w:rPr>
              <w:t>apps/web plus backend services</w:t>
            </w:r>
          </w:p>
        </w:tc>
        <w:tc>
          <w:tcPr>
            <w:tcW w:type="dxa" w:w="3816"/>
            <w:vAlign w:val="center"/>
          </w:tcPr>
          <w:p>
            <w:pPr>
              <w:spacing w:after="0" w:before="0" w:line="276" w:lineRule="auto"/>
            </w:pPr>
            <w:r>
              <w:rPr>
                <w:rFonts w:ascii="Calibri" w:hAnsi="Calibri"/>
                <w:b w:val="0"/>
                <w:color w:val="000000"/>
                <w:sz w:val="20"/>
              </w:rPr>
              <w:t>The frontend makes API calls to backend services and renders the workflow in a single-page interface.</w:t>
            </w:r>
          </w:p>
        </w:tc>
      </w:tr>
      <w:tr>
        <w:tc>
          <w:tcPr>
            <w:tcW w:type="dxa" w:w="2304"/>
            <w:vAlign w:val="center"/>
          </w:tcPr>
          <w:p>
            <w:pPr>
              <w:spacing w:after="0" w:before="0" w:line="276" w:lineRule="auto"/>
            </w:pPr>
            <w:r>
              <w:rPr>
                <w:rFonts w:ascii="Calibri" w:hAnsi="Calibri"/>
                <w:b w:val="0"/>
                <w:color w:val="000000"/>
                <w:sz w:val="20"/>
              </w:rPr>
              <w:t>REST APIs</w:t>
            </w:r>
          </w:p>
        </w:tc>
        <w:tc>
          <w:tcPr>
            <w:tcW w:type="dxa" w:w="3240"/>
            <w:vAlign w:val="center"/>
          </w:tcPr>
          <w:p>
            <w:pPr>
              <w:spacing w:after="0" w:before="0" w:line="276" w:lineRule="auto"/>
            </w:pPr>
            <w:r>
              <w:rPr>
                <w:rFonts w:ascii="Calibri" w:hAnsi="Calibri"/>
                <w:b w:val="0"/>
                <w:color w:val="000000"/>
                <w:sz w:val="20"/>
              </w:rPr>
              <w:t>Flask and Express routes across services</w:t>
            </w:r>
          </w:p>
        </w:tc>
        <w:tc>
          <w:tcPr>
            <w:tcW w:type="dxa" w:w="3816"/>
            <w:vAlign w:val="center"/>
          </w:tcPr>
          <w:p>
            <w:pPr>
              <w:spacing w:after="0" w:before="0" w:line="276" w:lineRule="auto"/>
            </w:pPr>
            <w:r>
              <w:rPr>
                <w:rFonts w:ascii="Calibri" w:hAnsi="Calibri"/>
                <w:b w:val="0"/>
                <w:color w:val="000000"/>
                <w:sz w:val="20"/>
              </w:rPr>
              <w:t>Most actions such as project updates, dataset access, and inference requests are exposed as HTTP endpoints.</w:t>
            </w:r>
          </w:p>
        </w:tc>
      </w:tr>
      <w:tr>
        <w:tc>
          <w:tcPr>
            <w:tcW w:type="dxa" w:w="2304"/>
            <w:vAlign w:val="center"/>
          </w:tcPr>
          <w:p>
            <w:pPr>
              <w:spacing w:after="0" w:before="0" w:line="276" w:lineRule="auto"/>
            </w:pPr>
            <w:r>
              <w:rPr>
                <w:rFonts w:ascii="Calibri" w:hAnsi="Calibri"/>
                <w:b w:val="0"/>
                <w:color w:val="000000"/>
                <w:sz w:val="20"/>
              </w:rPr>
              <w:t>Background processing</w:t>
            </w:r>
          </w:p>
        </w:tc>
        <w:tc>
          <w:tcPr>
            <w:tcW w:type="dxa" w:w="3240"/>
            <w:vAlign w:val="center"/>
          </w:tcPr>
          <w:p>
            <w:pPr>
              <w:spacing w:after="0" w:before="0" w:line="276" w:lineRule="auto"/>
            </w:pPr>
            <w:r>
              <w:rPr>
                <w:rFonts w:ascii="Calibri" w:hAnsi="Calibri"/>
                <w:b w:val="0"/>
                <w:color w:val="000000"/>
                <w:sz w:val="20"/>
              </w:rPr>
              <w:t>workers/* and service-side worker startup</w:t>
            </w:r>
          </w:p>
        </w:tc>
        <w:tc>
          <w:tcPr>
            <w:tcW w:type="dxa" w:w="3816"/>
            <w:vAlign w:val="center"/>
          </w:tcPr>
          <w:p>
            <w:pPr>
              <w:spacing w:after="0" w:before="0" w:line="276" w:lineRule="auto"/>
            </w:pPr>
            <w:r>
              <w:rPr>
                <w:rFonts w:ascii="Calibri" w:hAnsi="Calibri"/>
                <w:b w:val="0"/>
                <w:color w:val="000000"/>
                <w:sz w:val="20"/>
              </w:rPr>
              <w:t>Long-running jobs like training, export, and ingestion run outside the request/response cycle.</w:t>
            </w:r>
          </w:p>
        </w:tc>
      </w:tr>
      <w:tr>
        <w:tc>
          <w:tcPr>
            <w:tcW w:type="dxa" w:w="2304"/>
            <w:vAlign w:val="center"/>
          </w:tcPr>
          <w:p>
            <w:pPr>
              <w:spacing w:after="0" w:before="0" w:line="276" w:lineRule="auto"/>
            </w:pPr>
            <w:r>
              <w:rPr>
                <w:rFonts w:ascii="Calibri" w:hAnsi="Calibri"/>
                <w:b w:val="0"/>
                <w:color w:val="000000"/>
                <w:sz w:val="20"/>
              </w:rPr>
              <w:t>Annotation workflow</w:t>
            </w:r>
          </w:p>
        </w:tc>
        <w:tc>
          <w:tcPr>
            <w:tcW w:type="dxa" w:w="3240"/>
            <w:vAlign w:val="center"/>
          </w:tcPr>
          <w:p>
            <w:pPr>
              <w:spacing w:after="0" w:before="0" w:line="276" w:lineRule="auto"/>
            </w:pPr>
            <w:r>
              <w:rPr>
                <w:rFonts w:ascii="Calibri" w:hAnsi="Calibri"/>
                <w:b w:val="0"/>
                <w:color w:val="000000"/>
                <w:sz w:val="20"/>
              </w:rPr>
              <w:t>dataset_service, annotation-service, project_service_node</w:t>
            </w:r>
          </w:p>
        </w:tc>
        <w:tc>
          <w:tcPr>
            <w:tcW w:type="dxa" w:w="3816"/>
            <w:vAlign w:val="center"/>
          </w:tcPr>
          <w:p>
            <w:pPr>
              <w:spacing w:after="0" w:before="0" w:line="276" w:lineRule="auto"/>
            </w:pPr>
            <w:r>
              <w:rPr>
                <w:rFonts w:ascii="Calibri" w:hAnsi="Calibri"/>
                <w:b w:val="0"/>
                <w:color w:val="000000"/>
                <w:sz w:val="20"/>
              </w:rPr>
              <w:t>The project supports unannotated, annotated, approved, and rejected states for assets.</w:t>
            </w:r>
          </w:p>
        </w:tc>
      </w:tr>
      <w:tr>
        <w:tc>
          <w:tcPr>
            <w:tcW w:type="dxa" w:w="2304"/>
            <w:vAlign w:val="center"/>
          </w:tcPr>
          <w:p>
            <w:pPr>
              <w:spacing w:after="0" w:before="0" w:line="276" w:lineRule="auto"/>
            </w:pPr>
            <w:r>
              <w:rPr>
                <w:rFonts w:ascii="Calibri" w:hAnsi="Calibri"/>
                <w:b w:val="0"/>
                <w:color w:val="000000"/>
                <w:sz w:val="20"/>
              </w:rPr>
              <w:t>Dataset versioning</w:t>
            </w:r>
          </w:p>
        </w:tc>
        <w:tc>
          <w:tcPr>
            <w:tcW w:type="dxa" w:w="3240"/>
            <w:vAlign w:val="center"/>
          </w:tcPr>
          <w:p>
            <w:pPr>
              <w:spacing w:after="0" w:before="0" w:line="276" w:lineRule="auto"/>
            </w:pPr>
            <w:r>
              <w:rPr>
                <w:rFonts w:ascii="Calibri" w:hAnsi="Calibri"/>
                <w:b w:val="0"/>
                <w:color w:val="000000"/>
                <w:sz w:val="20"/>
              </w:rPr>
              <w:t>dataset_service/controllers/version_controller.py and related services</w:t>
            </w:r>
          </w:p>
        </w:tc>
        <w:tc>
          <w:tcPr>
            <w:tcW w:type="dxa" w:w="3816"/>
            <w:vAlign w:val="center"/>
          </w:tcPr>
          <w:p>
            <w:pPr>
              <w:spacing w:after="0" w:before="0" w:line="276" w:lineRule="auto"/>
            </w:pPr>
            <w:r>
              <w:rPr>
                <w:rFonts w:ascii="Calibri" w:hAnsi="Calibri"/>
                <w:b w:val="0"/>
                <w:color w:val="000000"/>
                <w:sz w:val="20"/>
              </w:rPr>
              <w:t>The project tracks dataset and version lifecycle so users can reproduce training inputs.</w:t>
            </w:r>
          </w:p>
        </w:tc>
      </w:tr>
      <w:tr>
        <w:tc>
          <w:tcPr>
            <w:tcW w:type="dxa" w:w="2304"/>
            <w:vAlign w:val="center"/>
          </w:tcPr>
          <w:p>
            <w:pPr>
              <w:spacing w:after="0" w:before="0" w:line="276" w:lineRule="auto"/>
            </w:pPr>
            <w:r>
              <w:rPr>
                <w:rFonts w:ascii="Calibri" w:hAnsi="Calibri"/>
                <w:b w:val="0"/>
                <w:color w:val="000000"/>
                <w:sz w:val="20"/>
              </w:rPr>
              <w:t>Model training pipeline</w:t>
            </w:r>
          </w:p>
        </w:tc>
        <w:tc>
          <w:tcPr>
            <w:tcW w:type="dxa" w:w="3240"/>
            <w:vAlign w:val="center"/>
          </w:tcPr>
          <w:p>
            <w:pPr>
              <w:spacing w:after="0" w:before="0" w:line="276" w:lineRule="auto"/>
            </w:pPr>
            <w:r>
              <w:rPr>
                <w:rFonts w:ascii="Calibri" w:hAnsi="Calibri"/>
                <w:b w:val="0"/>
                <w:color w:val="000000"/>
                <w:sz w:val="20"/>
              </w:rPr>
              <w:t>training-service and ml-platform/pipelines/training/train.py</w:t>
            </w:r>
          </w:p>
        </w:tc>
        <w:tc>
          <w:tcPr>
            <w:tcW w:type="dxa" w:w="3816"/>
            <w:vAlign w:val="center"/>
          </w:tcPr>
          <w:p>
            <w:pPr>
              <w:spacing w:after="0" w:before="0" w:line="276" w:lineRule="auto"/>
            </w:pPr>
            <w:r>
              <w:rPr>
                <w:rFonts w:ascii="Calibri" w:hAnsi="Calibri"/>
                <w:b w:val="0"/>
                <w:color w:val="000000"/>
                <w:sz w:val="20"/>
              </w:rPr>
              <w:t>Training is separated into architecture-specific engines and pipeline code.</w:t>
            </w:r>
          </w:p>
        </w:tc>
      </w:tr>
      <w:tr>
        <w:tc>
          <w:tcPr>
            <w:tcW w:type="dxa" w:w="2304"/>
            <w:vAlign w:val="center"/>
          </w:tcPr>
          <w:p>
            <w:pPr>
              <w:spacing w:after="0" w:before="0" w:line="276" w:lineRule="auto"/>
            </w:pPr>
            <w:r>
              <w:rPr>
                <w:rFonts w:ascii="Calibri" w:hAnsi="Calibri"/>
                <w:b w:val="0"/>
                <w:color w:val="000000"/>
                <w:sz w:val="20"/>
              </w:rPr>
              <w:t>Inference pipeline</w:t>
            </w:r>
          </w:p>
        </w:tc>
        <w:tc>
          <w:tcPr>
            <w:tcW w:type="dxa" w:w="3240"/>
            <w:vAlign w:val="center"/>
          </w:tcPr>
          <w:p>
            <w:pPr>
              <w:spacing w:after="0" w:before="0" w:line="276" w:lineRule="auto"/>
            </w:pPr>
            <w:r>
              <w:rPr>
                <w:rFonts w:ascii="Calibri" w:hAnsi="Calibri"/>
                <w:b w:val="0"/>
                <w:color w:val="000000"/>
                <w:sz w:val="20"/>
              </w:rPr>
              <w:t>inference_service and workers/inference_worker</w:t>
            </w:r>
          </w:p>
        </w:tc>
        <w:tc>
          <w:tcPr>
            <w:tcW w:type="dxa" w:w="3816"/>
            <w:vAlign w:val="center"/>
          </w:tcPr>
          <w:p>
            <w:pPr>
              <w:spacing w:after="0" w:before="0" w:line="276" w:lineRule="auto"/>
            </w:pPr>
            <w:r>
              <w:rPr>
                <w:rFonts w:ascii="Calibri" w:hAnsi="Calibri"/>
                <w:b w:val="0"/>
                <w:color w:val="000000"/>
                <w:sz w:val="20"/>
              </w:rPr>
              <w:t>Inference is treated as a dedicated service path rather than embedded inside the UI.</w:t>
            </w:r>
          </w:p>
        </w:tc>
      </w:tr>
      <w:tr>
        <w:tc>
          <w:tcPr>
            <w:tcW w:type="dxa" w:w="2304"/>
            <w:vAlign w:val="center"/>
          </w:tcPr>
          <w:p>
            <w:pPr>
              <w:spacing w:after="0" w:before="0" w:line="276" w:lineRule="auto"/>
            </w:pPr>
            <w:r>
              <w:rPr>
                <w:rFonts w:ascii="Calibri" w:hAnsi="Calibri"/>
                <w:b w:val="0"/>
                <w:color w:val="000000"/>
                <w:sz w:val="20"/>
              </w:rPr>
              <w:t>Real-time telemetry</w:t>
            </w:r>
          </w:p>
        </w:tc>
        <w:tc>
          <w:tcPr>
            <w:tcW w:type="dxa" w:w="3240"/>
            <w:vAlign w:val="center"/>
          </w:tcPr>
          <w:p>
            <w:pPr>
              <w:spacing w:after="0" w:before="0" w:line="276" w:lineRule="auto"/>
            </w:pPr>
            <w:r>
              <w:rPr>
                <w:rFonts w:ascii="Calibri" w:hAnsi="Calibri"/>
                <w:b w:val="0"/>
                <w:color w:val="000000"/>
                <w:sz w:val="20"/>
              </w:rPr>
              <w:t>services/project_service_node/server.js</w:t>
            </w:r>
          </w:p>
        </w:tc>
        <w:tc>
          <w:tcPr>
            <w:tcW w:type="dxa" w:w="3816"/>
            <w:vAlign w:val="center"/>
          </w:tcPr>
          <w:p>
            <w:pPr>
              <w:spacing w:after="0" w:before="0" w:line="276" w:lineRule="auto"/>
            </w:pPr>
            <w:r>
              <w:rPr>
                <w:rFonts w:ascii="Calibri" w:hAnsi="Calibri"/>
                <w:b w:val="0"/>
                <w:color w:val="000000"/>
                <w:sz w:val="20"/>
              </w:rPr>
              <w:t>Server-sent events and KPI event ingestion power live system and project metrics.</w:t>
            </w:r>
          </w:p>
        </w:tc>
      </w:tr>
      <w:tr>
        <w:tc>
          <w:tcPr>
            <w:tcW w:type="dxa" w:w="2304"/>
            <w:vAlign w:val="center"/>
          </w:tcPr>
          <w:p>
            <w:pPr>
              <w:spacing w:after="0" w:before="0" w:line="276" w:lineRule="auto"/>
            </w:pPr>
            <w:r>
              <w:rPr>
                <w:rFonts w:ascii="Calibri" w:hAnsi="Calibri"/>
                <w:b w:val="0"/>
                <w:color w:val="000000"/>
                <w:sz w:val="20"/>
              </w:rPr>
              <w:t>Central configuration</w:t>
            </w:r>
          </w:p>
        </w:tc>
        <w:tc>
          <w:tcPr>
            <w:tcW w:type="dxa" w:w="3240"/>
            <w:vAlign w:val="center"/>
          </w:tcPr>
          <w:p>
            <w:pPr>
              <w:spacing w:after="0" w:before="0" w:line="276" w:lineRule="auto"/>
            </w:pPr>
            <w:r>
              <w:rPr>
                <w:rFonts w:ascii="Calibri" w:hAnsi="Calibri"/>
                <w:b w:val="0"/>
                <w:color w:val="000000"/>
                <w:sz w:val="20"/>
              </w:rPr>
              <w:t>visionflow.conf and service loaders</w:t>
            </w:r>
          </w:p>
        </w:tc>
        <w:tc>
          <w:tcPr>
            <w:tcW w:type="dxa" w:w="3816"/>
            <w:vAlign w:val="center"/>
          </w:tcPr>
          <w:p>
            <w:pPr>
              <w:spacing w:after="0" w:before="0" w:line="276" w:lineRule="auto"/>
            </w:pPr>
            <w:r>
              <w:rPr>
                <w:rFonts w:ascii="Calibri" w:hAnsi="Calibri"/>
                <w:b w:val="0"/>
                <w:color w:val="000000"/>
                <w:sz w:val="20"/>
              </w:rPr>
              <w:t>Shared runtime settings such as ports, storage paths, and device preferences are kept in one config file.</w:t>
            </w:r>
          </w:p>
        </w:tc>
      </w:tr>
      <w:tr>
        <w:tc>
          <w:tcPr>
            <w:tcW w:type="dxa" w:w="2304"/>
            <w:vAlign w:val="center"/>
          </w:tcPr>
          <w:p>
            <w:pPr>
              <w:spacing w:after="0" w:before="0" w:line="276" w:lineRule="auto"/>
            </w:pPr>
            <w:r>
              <w:rPr>
                <w:rFonts w:ascii="Calibri" w:hAnsi="Calibri"/>
                <w:b w:val="0"/>
                <w:color w:val="000000"/>
                <w:sz w:val="20"/>
              </w:rPr>
              <w:t>Persistent object storage pattern</w:t>
            </w:r>
          </w:p>
        </w:tc>
        <w:tc>
          <w:tcPr>
            <w:tcW w:type="dxa" w:w="3240"/>
            <w:vAlign w:val="center"/>
          </w:tcPr>
          <w:p>
            <w:pPr>
              <w:spacing w:after="0" w:before="0" w:line="276" w:lineRule="auto"/>
            </w:pPr>
            <w:r>
              <w:rPr>
                <w:rFonts w:ascii="Calibri" w:hAnsi="Calibri"/>
                <w:b w:val="0"/>
                <w:color w:val="000000"/>
                <w:sz w:val="20"/>
              </w:rPr>
              <w:t>MongoDB GridFS and upload directories</w:t>
            </w:r>
          </w:p>
        </w:tc>
        <w:tc>
          <w:tcPr>
            <w:tcW w:type="dxa" w:w="3816"/>
            <w:vAlign w:val="center"/>
          </w:tcPr>
          <w:p>
            <w:pPr>
              <w:spacing w:after="0" w:before="0" w:line="276" w:lineRule="auto"/>
            </w:pPr>
            <w:r>
              <w:rPr>
                <w:rFonts w:ascii="Calibri" w:hAnsi="Calibri"/>
                <w:b w:val="0"/>
                <w:color w:val="000000"/>
                <w:sz w:val="20"/>
              </w:rPr>
              <w:t>Binary assets are stored either in GridFS or on disk, depending on the service path.</w:t>
            </w:r>
          </w:p>
        </w:tc>
      </w:tr>
      <w:tr>
        <w:tc>
          <w:tcPr>
            <w:tcW w:type="dxa" w:w="2304"/>
            <w:vAlign w:val="center"/>
          </w:tcPr>
          <w:p>
            <w:pPr>
              <w:spacing w:after="0" w:before="0" w:line="276" w:lineRule="auto"/>
            </w:pPr>
            <w:r>
              <w:rPr>
                <w:rFonts w:ascii="Calibri" w:hAnsi="Calibri"/>
                <w:b w:val="0"/>
                <w:color w:val="000000"/>
                <w:sz w:val="20"/>
              </w:rPr>
              <w:t>Containerization</w:t>
            </w:r>
          </w:p>
        </w:tc>
        <w:tc>
          <w:tcPr>
            <w:tcW w:type="dxa" w:w="3240"/>
            <w:vAlign w:val="center"/>
          </w:tcPr>
          <w:p>
            <w:pPr>
              <w:spacing w:after="0" w:before="0" w:line="276" w:lineRule="auto"/>
            </w:pPr>
            <w:r>
              <w:rPr>
                <w:rFonts w:ascii="Calibri" w:hAnsi="Calibri"/>
                <w:b w:val="0"/>
                <w:color w:val="000000"/>
                <w:sz w:val="20"/>
              </w:rPr>
              <w:t>Dockerfiles and docker-compose.yml</w:t>
            </w:r>
          </w:p>
        </w:tc>
        <w:tc>
          <w:tcPr>
            <w:tcW w:type="dxa" w:w="3816"/>
            <w:vAlign w:val="center"/>
          </w:tcPr>
          <w:p>
            <w:pPr>
              <w:spacing w:after="0" w:before="0" w:line="276" w:lineRule="auto"/>
            </w:pPr>
            <w:r>
              <w:rPr>
                <w:rFonts w:ascii="Calibri" w:hAnsi="Calibri"/>
                <w:b w:val="0"/>
                <w:color w:val="000000"/>
                <w:sz w:val="20"/>
              </w:rPr>
              <w:t>Each service can be packaged and run in a repeatable environment.</w:t>
            </w:r>
          </w:p>
        </w:tc>
      </w:tr>
    </w:tbl>
    <w:p/>
    <w:p>
      <w:pPr>
        <w:pStyle w:val="Heading1"/>
      </w:pPr>
      <w:r>
        <w:t>Service and Module Breakdown</w:t>
      </w:r>
    </w:p>
    <w:p>
      <w:pPr>
        <w:spacing w:after="80"/>
      </w:pPr>
      <w:r>
        <w:rPr>
          <w:rFonts w:ascii="Calibri" w:hAnsi="Calibri"/>
          <w:b/>
          <w:sz w:val="22"/>
        </w:rPr>
        <w:t xml:space="preserve">`services/dataset_service`: </w:t>
      </w:r>
      <w:r>
        <w:t>Manages projects, datasets, assets, classes, tags, versions, analytics, and workspace data. It also serves uploads and uses GridFS for asset storage.</w:t>
      </w:r>
    </w:p>
    <w:p>
      <w:pPr>
        <w:spacing w:after="80"/>
      </w:pPr>
      <w:r>
        <w:rPr>
          <w:rFonts w:ascii="Calibri" w:hAnsi="Calibri"/>
          <w:b/>
          <w:sz w:val="22"/>
        </w:rPr>
        <w:t xml:space="preserve">`services/project_service_node`: </w:t>
      </w:r>
      <w:r>
        <w:t>Provides project-centric APIs, metrics streaming, telemetry ingestion, upload handling, and deployment templates.</w:t>
      </w:r>
    </w:p>
    <w:p>
      <w:pPr>
        <w:spacing w:after="80"/>
      </w:pPr>
      <w:r>
        <w:rPr>
          <w:rFonts w:ascii="Calibri" w:hAnsi="Calibri"/>
          <w:b/>
          <w:sz w:val="22"/>
        </w:rPr>
        <w:t xml:space="preserve">`services/inference_service`: </w:t>
      </w:r>
      <w:r>
        <w:t>Runs inference-related logic and exposes the prediction path for models and deployments.</w:t>
      </w:r>
    </w:p>
    <w:p>
      <w:pPr>
        <w:spacing w:after="80"/>
      </w:pPr>
      <w:r>
        <w:rPr>
          <w:rFonts w:ascii="Calibri" w:hAnsi="Calibri"/>
          <w:b/>
          <w:sz w:val="22"/>
        </w:rPr>
        <w:t xml:space="preserve">`services/training-service`: </w:t>
      </w:r>
      <w:r>
        <w:t>Contains training engines and transforms for different architectures such as YOLO, ResNet, PyTorch-based flows, and DINOv3.</w:t>
      </w:r>
    </w:p>
    <w:p>
      <w:pPr>
        <w:spacing w:after="80"/>
      </w:pPr>
      <w:r>
        <w:rPr>
          <w:rFonts w:ascii="Calibri" w:hAnsi="Calibri"/>
          <w:b/>
          <w:sz w:val="22"/>
        </w:rPr>
        <w:t xml:space="preserve">`services/export-service`: </w:t>
      </w:r>
      <w:r>
        <w:t>Handles exporting datasets or model outputs into downstream formats.</w:t>
      </w:r>
    </w:p>
    <w:p>
      <w:pPr>
        <w:spacing w:after="80"/>
      </w:pPr>
      <w:r>
        <w:rPr>
          <w:rFonts w:ascii="Calibri" w:hAnsi="Calibri"/>
          <w:b/>
          <w:sz w:val="22"/>
        </w:rPr>
        <w:t xml:space="preserve">`services/annotation-service`: </w:t>
      </w:r>
      <w:r>
        <w:t>Supports annotation workflows and annotation APIs.</w:t>
      </w:r>
    </w:p>
    <w:p>
      <w:pPr>
        <w:spacing w:after="80"/>
      </w:pPr>
      <w:r>
        <w:rPr>
          <w:rFonts w:ascii="Calibri" w:hAnsi="Calibri"/>
          <w:b/>
          <w:sz w:val="22"/>
        </w:rPr>
        <w:t xml:space="preserve">`services/auth_service` and `services/user-service`: </w:t>
      </w:r>
      <w:r>
        <w:t>Handle identity, login, and user management concerns.</w:t>
      </w:r>
    </w:p>
    <w:p>
      <w:pPr>
        <w:spacing w:after="80"/>
      </w:pPr>
      <w:r>
        <w:rPr>
          <w:rFonts w:ascii="Calibri" w:hAnsi="Calibri"/>
          <w:b/>
          <w:sz w:val="22"/>
        </w:rPr>
        <w:t xml:space="preserve">`workers/dataset_worker`, `workers/training_worker`, `workers/inference_worker`, `workers/export_worker`: </w:t>
      </w:r>
      <w:r>
        <w:t>Execute background jobs so the platform remains responsive under load.</w:t>
      </w:r>
    </w:p>
    <w:p>
      <w:pPr>
        <w:spacing w:after="80"/>
      </w:pPr>
      <w:r>
        <w:rPr>
          <w:rFonts w:ascii="Calibri" w:hAnsi="Calibri"/>
          <w:b/>
          <w:sz w:val="22"/>
        </w:rPr>
        <w:t xml:space="preserve">`ml-platform/models` and `ml-platform/pipelines`: </w:t>
      </w:r>
      <w:r>
        <w:t>Hold reusable model code and the training pipeline entry points.</w:t>
      </w:r>
    </w:p>
    <w:p>
      <w:pPr>
        <w:spacing w:after="80"/>
      </w:pPr>
      <w:r>
        <w:rPr>
          <w:rFonts w:ascii="Calibri" w:hAnsi="Calibri"/>
          <w:b/>
          <w:sz w:val="22"/>
        </w:rPr>
        <w:t xml:space="preserve">`api-gateway`: </w:t>
      </w:r>
      <w:r>
        <w:t>Acts as the gateway layer and reverse proxy for the service ecosystem.</w:t>
      </w:r>
    </w:p>
    <w:p>
      <w:pPr>
        <w:pStyle w:val="Heading1"/>
      </w:pPr>
      <w:r>
        <w:t>Configuration Highlights</w:t>
      </w:r>
    </w:p>
    <w:p>
      <w:pPr>
        <w:pStyle w:val="Heading2"/>
      </w:pPr>
      <w:r>
        <w:t>visionflow.conf at a Glance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E8EEF5"/>
            <w:vAlign w:val="center"/>
          </w:tcPr>
          <w:p>
            <w:pPr>
              <w:spacing w:after="0" w:before="0" w:line="276" w:lineRule="auto"/>
            </w:pPr>
            <w:r>
              <w:rPr>
                <w:rFonts w:ascii="Calibri" w:hAnsi="Calibri"/>
                <w:b/>
                <w:color w:val="1F3A5F"/>
                <w:sz w:val="21"/>
              </w:rPr>
              <w:t>Config Area</w:t>
            </w:r>
          </w:p>
        </w:tc>
        <w:tc>
          <w:tcPr>
            <w:tcW w:type="dxa" w:w="4680"/>
            <w:shd w:fill="E8EEF5"/>
            <w:vAlign w:val="center"/>
          </w:tcPr>
          <w:p>
            <w:pPr>
              <w:spacing w:after="0" w:before="0" w:line="276" w:lineRule="auto"/>
            </w:pPr>
            <w:r>
              <w:rPr>
                <w:rFonts w:ascii="Calibri" w:hAnsi="Calibri"/>
                <w:b/>
                <w:color w:val="1F3A5F"/>
                <w:sz w:val="21"/>
              </w:rPr>
              <w:t>Key Settings</w:t>
            </w:r>
          </w:p>
        </w:tc>
        <w:tc>
          <w:tcPr>
            <w:tcW w:type="dxa" w:w="2592"/>
            <w:shd w:fill="E8EEF5"/>
            <w:vAlign w:val="center"/>
          </w:tcPr>
          <w:p>
            <w:pPr>
              <w:spacing w:after="0" w:before="0" w:line="276" w:lineRule="auto"/>
            </w:pPr>
            <w:r>
              <w:rPr>
                <w:rFonts w:ascii="Calibri" w:hAnsi="Calibri"/>
                <w:b/>
                <w:color w:val="1F3A5F"/>
                <w:sz w:val="21"/>
              </w:rPr>
              <w:t>Role</w:t>
            </w:r>
          </w:p>
        </w:tc>
      </w:tr>
      <w:tr>
        <w:tc>
          <w:tcPr>
            <w:tcW w:type="dxa" w:w="2088"/>
            <w:vAlign w:val="center"/>
          </w:tcPr>
          <w:p>
            <w:pPr>
              <w:spacing w:after="0" w:before="0" w:line="276" w:lineRule="auto"/>
            </w:pPr>
            <w:r>
              <w:rPr>
                <w:rFonts w:ascii="Calibri" w:hAnsi="Calibri"/>
                <w:b w:val="0"/>
                <w:color w:val="000000"/>
                <w:sz w:val="20"/>
              </w:rPr>
              <w:t>MongoDB connection</w:t>
            </w:r>
          </w:p>
        </w:tc>
        <w:tc>
          <w:tcPr>
            <w:tcW w:type="dxa" w:w="4680"/>
            <w:vAlign w:val="center"/>
          </w:tcPr>
          <w:p>
            <w:pPr>
              <w:spacing w:after="0" w:before="0" w:line="276" w:lineRule="auto"/>
            </w:pPr>
            <w:r>
              <w:rPr>
                <w:rFonts w:ascii="Calibri" w:hAnsi="Calibri"/>
                <w:b w:val="0"/>
                <w:color w:val="000000"/>
                <w:sz w:val="20"/>
              </w:rPr>
              <w:t>MONGO_URI</w:t>
            </w:r>
          </w:p>
        </w:tc>
        <w:tc>
          <w:tcPr>
            <w:tcW w:type="dxa" w:w="2592"/>
            <w:vAlign w:val="center"/>
          </w:tcPr>
          <w:p>
            <w:pPr>
              <w:spacing w:after="0" w:before="0" w:line="276" w:lineRule="auto"/>
            </w:pPr>
            <w:r>
              <w:rPr>
                <w:rFonts w:ascii="Calibri" w:hAnsi="Calibri"/>
                <w:b w:val="0"/>
                <w:color w:val="000000"/>
                <w:sz w:val="20"/>
              </w:rPr>
              <w:t>Defines the database endpoint used by the services.</w:t>
            </w:r>
          </w:p>
        </w:tc>
      </w:tr>
      <w:tr>
        <w:tc>
          <w:tcPr>
            <w:tcW w:type="dxa" w:w="2088"/>
            <w:vAlign w:val="center"/>
          </w:tcPr>
          <w:p>
            <w:pPr>
              <w:spacing w:after="0" w:before="0" w:line="276" w:lineRule="auto"/>
            </w:pPr>
            <w:r>
              <w:rPr>
                <w:rFonts w:ascii="Calibri" w:hAnsi="Calibri"/>
                <w:b w:val="0"/>
                <w:color w:val="000000"/>
                <w:sz w:val="20"/>
              </w:rPr>
              <w:t>Service ports</w:t>
            </w:r>
          </w:p>
        </w:tc>
        <w:tc>
          <w:tcPr>
            <w:tcW w:type="dxa" w:w="4680"/>
            <w:vAlign w:val="center"/>
          </w:tcPr>
          <w:p>
            <w:pPr>
              <w:spacing w:after="0" w:before="0" w:line="276" w:lineRule="auto"/>
            </w:pPr>
            <w:r>
              <w:rPr>
                <w:rFonts w:ascii="Calibri" w:hAnsi="Calibri"/>
                <w:b w:val="0"/>
                <w:color w:val="000000"/>
                <w:sz w:val="20"/>
              </w:rPr>
              <w:t>PORT_AUTH_SERVICE, PORT_DATASET_SERVICE, PORT_PROJECT_SERVICE, PORT_TRAINING_SERVICE, PORT_INFERENCE_SERVICE</w:t>
            </w:r>
          </w:p>
        </w:tc>
        <w:tc>
          <w:tcPr>
            <w:tcW w:type="dxa" w:w="2592"/>
            <w:vAlign w:val="center"/>
          </w:tcPr>
          <w:p>
            <w:pPr>
              <w:spacing w:after="0" w:before="0" w:line="276" w:lineRule="auto"/>
            </w:pPr>
            <w:r>
              <w:rPr>
                <w:rFonts w:ascii="Calibri" w:hAnsi="Calibri"/>
                <w:b w:val="0"/>
                <w:color w:val="000000"/>
                <w:sz w:val="20"/>
              </w:rPr>
              <w:t>Keeps each service bound to a known runtime port.</w:t>
            </w:r>
          </w:p>
        </w:tc>
      </w:tr>
      <w:tr>
        <w:tc>
          <w:tcPr>
            <w:tcW w:type="dxa" w:w="2088"/>
            <w:vAlign w:val="center"/>
          </w:tcPr>
          <w:p>
            <w:pPr>
              <w:spacing w:after="0" w:before="0" w:line="276" w:lineRule="auto"/>
            </w:pPr>
            <w:r>
              <w:rPr>
                <w:rFonts w:ascii="Calibri" w:hAnsi="Calibri"/>
                <w:b w:val="0"/>
                <w:color w:val="000000"/>
                <w:sz w:val="20"/>
              </w:rPr>
              <w:t>Storage paths</w:t>
            </w:r>
          </w:p>
        </w:tc>
        <w:tc>
          <w:tcPr>
            <w:tcW w:type="dxa" w:w="4680"/>
            <w:vAlign w:val="center"/>
          </w:tcPr>
          <w:p>
            <w:pPr>
              <w:spacing w:after="0" w:before="0" w:line="276" w:lineRule="auto"/>
            </w:pPr>
            <w:r>
              <w:rPr>
                <w:rFonts w:ascii="Calibri" w:hAnsi="Calibri"/>
                <w:b w:val="0"/>
                <w:color w:val="000000"/>
                <w:sz w:val="20"/>
              </w:rPr>
              <w:t>UPLOAD_DIR, DATASET_DIR</w:t>
            </w:r>
          </w:p>
        </w:tc>
        <w:tc>
          <w:tcPr>
            <w:tcW w:type="dxa" w:w="2592"/>
            <w:vAlign w:val="center"/>
          </w:tcPr>
          <w:p>
            <w:pPr>
              <w:spacing w:after="0" w:before="0" w:line="276" w:lineRule="auto"/>
            </w:pPr>
            <w:r>
              <w:rPr>
                <w:rFonts w:ascii="Calibri" w:hAnsi="Calibri"/>
                <w:b w:val="0"/>
                <w:color w:val="000000"/>
                <w:sz w:val="20"/>
              </w:rPr>
              <w:t>Defines where uploads and datasets are stored on disk.</w:t>
            </w:r>
          </w:p>
        </w:tc>
      </w:tr>
      <w:tr>
        <w:tc>
          <w:tcPr>
            <w:tcW w:type="dxa" w:w="2088"/>
            <w:vAlign w:val="center"/>
          </w:tcPr>
          <w:p>
            <w:pPr>
              <w:spacing w:after="0" w:before="0" w:line="276" w:lineRule="auto"/>
            </w:pPr>
            <w:r>
              <w:rPr>
                <w:rFonts w:ascii="Calibri" w:hAnsi="Calibri"/>
                <w:b w:val="0"/>
                <w:color w:val="000000"/>
                <w:sz w:val="20"/>
              </w:rPr>
              <w:t>Model defaults</w:t>
            </w:r>
          </w:p>
        </w:tc>
        <w:tc>
          <w:tcPr>
            <w:tcW w:type="dxa" w:w="4680"/>
            <w:vAlign w:val="center"/>
          </w:tcPr>
          <w:p>
            <w:pPr>
              <w:spacing w:after="0" w:before="0" w:line="276" w:lineRule="auto"/>
            </w:pPr>
            <w:r>
              <w:rPr>
                <w:rFonts w:ascii="Calibri" w:hAnsi="Calibri"/>
                <w:b w:val="0"/>
                <w:color w:val="000000"/>
                <w:sz w:val="20"/>
              </w:rPr>
              <w:t>YOLO_MODEL_PATH, MODEL.architecture, MODEL.task</w:t>
            </w:r>
          </w:p>
        </w:tc>
        <w:tc>
          <w:tcPr>
            <w:tcW w:type="dxa" w:w="2592"/>
            <w:vAlign w:val="center"/>
          </w:tcPr>
          <w:p>
            <w:pPr>
              <w:spacing w:after="0" w:before="0" w:line="276" w:lineRule="auto"/>
            </w:pPr>
            <w:r>
              <w:rPr>
                <w:rFonts w:ascii="Calibri" w:hAnsi="Calibri"/>
                <w:b w:val="0"/>
                <w:color w:val="000000"/>
                <w:sz w:val="20"/>
              </w:rPr>
              <w:t>Sets the default detection model and task type.</w:t>
            </w:r>
          </w:p>
        </w:tc>
      </w:tr>
      <w:tr>
        <w:tc>
          <w:tcPr>
            <w:tcW w:type="dxa" w:w="2088"/>
            <w:vAlign w:val="center"/>
          </w:tcPr>
          <w:p>
            <w:pPr>
              <w:spacing w:after="0" w:before="0" w:line="276" w:lineRule="auto"/>
            </w:pPr>
            <w:r>
              <w:rPr>
                <w:rFonts w:ascii="Calibri" w:hAnsi="Calibri"/>
                <w:b w:val="0"/>
                <w:color w:val="000000"/>
                <w:sz w:val="20"/>
              </w:rPr>
              <w:t>Training defaults</w:t>
            </w:r>
          </w:p>
        </w:tc>
        <w:tc>
          <w:tcPr>
            <w:tcW w:type="dxa" w:w="4680"/>
            <w:vAlign w:val="center"/>
          </w:tcPr>
          <w:p>
            <w:pPr>
              <w:spacing w:after="0" w:before="0" w:line="276" w:lineRule="auto"/>
            </w:pPr>
            <w:r>
              <w:rPr>
                <w:rFonts w:ascii="Calibri" w:hAnsi="Calibri"/>
                <w:b w:val="0"/>
                <w:color w:val="000000"/>
                <w:sz w:val="20"/>
              </w:rPr>
              <w:t>TRAINING, LOCAL, PREPROCESSING, AUGMENTATION sections</w:t>
            </w:r>
          </w:p>
        </w:tc>
        <w:tc>
          <w:tcPr>
            <w:tcW w:type="dxa" w:w="2592"/>
            <w:vAlign w:val="center"/>
          </w:tcPr>
          <w:p>
            <w:pPr>
              <w:spacing w:after="0" w:before="0" w:line="276" w:lineRule="auto"/>
            </w:pPr>
            <w:r>
              <w:rPr>
                <w:rFonts w:ascii="Calibri" w:hAnsi="Calibri"/>
                <w:b w:val="0"/>
                <w:color w:val="000000"/>
                <w:sz w:val="20"/>
              </w:rPr>
              <w:t>Controls batch size, epochs, device, resizing, normalization, and augmentation behavior.</w:t>
            </w:r>
          </w:p>
        </w:tc>
      </w:tr>
      <w:tr>
        <w:tc>
          <w:tcPr>
            <w:tcW w:type="dxa" w:w="2088"/>
            <w:vAlign w:val="center"/>
          </w:tcPr>
          <w:p>
            <w:pPr>
              <w:spacing w:after="0" w:before="0" w:line="276" w:lineRule="auto"/>
            </w:pPr>
            <w:r>
              <w:rPr>
                <w:rFonts w:ascii="Calibri" w:hAnsi="Calibri"/>
                <w:b w:val="0"/>
                <w:color w:val="000000"/>
                <w:sz w:val="20"/>
              </w:rPr>
              <w:t>UI defaults</w:t>
            </w:r>
          </w:p>
        </w:tc>
        <w:tc>
          <w:tcPr>
            <w:tcW w:type="dxa" w:w="4680"/>
            <w:vAlign w:val="center"/>
          </w:tcPr>
          <w:p>
            <w:pPr>
              <w:spacing w:after="0" w:before="0" w:line="276" w:lineRule="auto"/>
            </w:pPr>
            <w:r>
              <w:rPr>
                <w:rFonts w:ascii="Calibri" w:hAnsi="Calibri"/>
                <w:b w:val="0"/>
                <w:color w:val="000000"/>
                <w:sz w:val="20"/>
              </w:rPr>
              <w:t>WEB_APP_RESOLUTION and THEME sections</w:t>
            </w:r>
          </w:p>
        </w:tc>
        <w:tc>
          <w:tcPr>
            <w:tcW w:type="dxa" w:w="2592"/>
            <w:vAlign w:val="center"/>
          </w:tcPr>
          <w:p>
            <w:pPr>
              <w:spacing w:after="0" w:before="0" w:line="276" w:lineRule="auto"/>
            </w:pPr>
            <w:r>
              <w:rPr>
                <w:rFonts w:ascii="Calibri" w:hAnsi="Calibri"/>
                <w:b w:val="0"/>
                <w:color w:val="000000"/>
                <w:sz w:val="20"/>
              </w:rPr>
              <w:t>Defines the expected app resolution and theme mode.</w:t>
            </w:r>
          </w:p>
        </w:tc>
      </w:tr>
    </w:tbl>
    <w:p/>
    <w:p>
      <w:pPr>
        <w:pStyle w:val="Heading1"/>
      </w:pPr>
      <w:r>
        <w:t>How the Pieces Work Together</w:t>
      </w:r>
    </w:p>
    <w:p>
      <w:pPr>
        <w:pStyle w:val="ListNumber"/>
        <w:spacing w:after="80" w:line="276" w:lineRule="auto"/>
      </w:pPr>
      <w:r>
        <w:t>A user works in the React frontend inside `apps/web` to create a project, upload assets, annotate data, and launch training or inference actions.</w:t>
      </w:r>
    </w:p>
    <w:p>
      <w:pPr>
        <w:pStyle w:val="ListNumber"/>
        <w:spacing w:after="80" w:line="276" w:lineRule="auto"/>
      </w:pPr>
      <w:r>
        <w:t>The frontend talks to backend APIs through the gateway and service endpoints defined in `visionflow.conf`.</w:t>
      </w:r>
    </w:p>
    <w:p>
      <w:pPr>
        <w:pStyle w:val="ListNumber"/>
        <w:spacing w:after="80" w:line="276" w:lineRule="auto"/>
      </w:pPr>
      <w:r>
        <w:t>Project and dataset records are stored in MongoDB, while larger asset files are either saved in GridFS or served from storage directories.</w:t>
      </w:r>
    </w:p>
    <w:p>
      <w:pPr>
        <w:pStyle w:val="ListNumber"/>
        <w:spacing w:after="80" w:line="276" w:lineRule="auto"/>
      </w:pPr>
      <w:r>
        <w:t>When a task is expensive, the relevant worker handles it asynchronously so the UI stays responsive.</w:t>
      </w:r>
    </w:p>
    <w:p>
      <w:pPr>
        <w:pStyle w:val="ListNumber"/>
        <w:spacing w:after="80" w:line="276" w:lineRule="auto"/>
      </w:pPr>
      <w:r>
        <w:t>Training code in `training-service` and `ml-platform` prepares or updates a model, and inference services then use that model to generate predictions.</w:t>
      </w:r>
    </w:p>
    <w:p>
      <w:pPr>
        <w:pStyle w:val="ListNumber"/>
        <w:spacing w:after="80" w:line="276" w:lineRule="auto"/>
      </w:pPr>
      <w:r>
        <w:t>Telemetry and event streams support operational visibility, so the platform can show metrics and job status in near real time.</w:t>
      </w:r>
    </w:p>
    <w:p>
      <w:pPr>
        <w:pStyle w:val="Heading1"/>
      </w:pPr>
      <w:r>
        <w:t>Summary</w:t>
      </w:r>
    </w:p>
    <w:p>
      <w:r>
        <w:t>VisionFlow is built around a practical computer vision workflow: ingest data, annotate it, train a model, run inference, export results, and keep the system observable while it operates. The repo combines modern frontend tooling, Python and Node.js services, MongoDB-backed storage, and background workers to support that flow end to end.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8"/>
      </w:rPr>
      <w:t>VisionFlow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