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Calibri" w:hAnsi="Calibri"/>
          <w:b w:val="0"/>
          <w:color w:val="1F4E79"/>
          <w:sz w:val="48"/>
        </w:rPr>
        <w:t>VisionFlow Installation, Setup, and Usage Guide</w:t>
      </w:r>
    </w:p>
    <w:p>
      <w:pPr>
        <w:spacing w:after="240"/>
      </w:pPr>
      <w:r>
        <w:rPr>
          <w:rFonts w:ascii="Calibri" w:hAnsi="Calibri"/>
          <w:color w:val="555555"/>
          <w:sz w:val="21"/>
        </w:rPr>
        <w:t>A practical startup and operator guide based on the current Datasetlab repository.</w:t>
      </w:r>
    </w:p>
    <w:p>
      <w:pPr>
        <w:pStyle w:val="Heading1"/>
      </w:pPr>
      <w:r>
        <w:t>Purpose</w:t>
      </w:r>
    </w:p>
    <w:p>
      <w:r>
        <w:t>This document explains how to install VisionFlow, configure it for local development or containerized deployment, and use the platform to create projects, upload data, annotate assets, train models, run inference, and export results.</w:t>
      </w:r>
    </w:p>
    <w:p>
      <w:pPr>
        <w:pStyle w:val="Heading1"/>
      </w:pPr>
      <w:r>
        <w:t>Prerequisites</w:t>
      </w:r>
    </w:p>
    <w:p>
      <w:pPr>
        <w:pStyle w:val="ListBullet"/>
        <w:spacing w:after="80" w:line="276" w:lineRule="auto"/>
      </w:pPr>
      <w:r>
        <w:t>MongoDB for project, dataset, asset, and telemetry storage.</w:t>
      </w:r>
    </w:p>
    <w:p>
      <w:pPr>
        <w:pStyle w:val="ListBullet"/>
        <w:spacing w:after="80" w:line="276" w:lineRule="auto"/>
      </w:pPr>
      <w:r>
        <w:t>Python for the dataset, training, and inference services.</w:t>
      </w:r>
    </w:p>
    <w:p>
      <w:pPr>
        <w:pStyle w:val="ListBullet"/>
        <w:spacing w:after="80" w:line="276" w:lineRule="auto"/>
      </w:pPr>
      <w:r>
        <w:t>Node.js and npm for the root orchestrator, project service, and web app.</w:t>
      </w:r>
    </w:p>
    <w:p>
      <w:pPr>
        <w:pStyle w:val="ListBullet"/>
        <w:spacing w:after="80" w:line="276" w:lineRule="auto"/>
      </w:pPr>
      <w:r>
        <w:t>Docker and Docker Compose if you want the full stack in containers.</w:t>
      </w:r>
    </w:p>
    <w:p>
      <w:pPr>
        <w:pStyle w:val="ListBullet"/>
        <w:spacing w:after="80" w:line="276" w:lineRule="auto"/>
      </w:pPr>
      <w:r>
        <w:t>A VisionFlow configuration file at `visionflow.conf` with service ports, storage paths, and model defaults.</w:t>
      </w:r>
    </w:p>
    <w:p>
      <w:pPr>
        <w:pStyle w:val="Heading1"/>
      </w:pPr>
      <w:r>
        <w:t>Installation Options</w:t>
      </w:r>
    </w:p>
    <w:p>
      <w:pPr>
        <w:pStyle w:val="Heading2"/>
      </w:pPr>
      <w:r>
        <w:t>Supported Ways to Install VisionFlow</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fill="E8EEF5"/>
            <w:vAlign w:val="center"/>
          </w:tcPr>
          <w:p>
            <w:pPr>
              <w:spacing w:after="0" w:before="0" w:line="269" w:lineRule="auto"/>
            </w:pPr>
            <w:r>
              <w:rPr>
                <w:rFonts w:ascii="Calibri" w:hAnsi="Calibri"/>
                <w:b/>
                <w:color w:val="1F3A5F"/>
                <w:sz w:val="20"/>
              </w:rPr>
              <w:t>Option</w:t>
            </w:r>
          </w:p>
        </w:tc>
        <w:tc>
          <w:tcPr>
            <w:tcW w:type="dxa" w:w="4536"/>
            <w:shd w:fill="E8EEF5"/>
            <w:vAlign w:val="center"/>
          </w:tcPr>
          <w:p>
            <w:pPr>
              <w:spacing w:after="0" w:before="0" w:line="269" w:lineRule="auto"/>
            </w:pPr>
            <w:r>
              <w:rPr>
                <w:rFonts w:ascii="Calibri" w:hAnsi="Calibri"/>
                <w:b/>
                <w:color w:val="1F3A5F"/>
                <w:sz w:val="20"/>
              </w:rPr>
              <w:t>What to Run</w:t>
            </w:r>
          </w:p>
        </w:tc>
        <w:tc>
          <w:tcPr>
            <w:tcW w:type="dxa" w:w="2592"/>
            <w:shd w:fill="E8EEF5"/>
            <w:vAlign w:val="center"/>
          </w:tcPr>
          <w:p>
            <w:pPr>
              <w:spacing w:after="0" w:before="0" w:line="269" w:lineRule="auto"/>
            </w:pPr>
            <w:r>
              <w:rPr>
                <w:rFonts w:ascii="Calibri" w:hAnsi="Calibri"/>
                <w:b/>
                <w:color w:val="1F3A5F"/>
                <w:sz w:val="20"/>
              </w:rPr>
              <w:t>When to Use It</w:t>
            </w:r>
          </w:p>
        </w:tc>
      </w:tr>
      <w:tr>
        <w:tc>
          <w:tcPr>
            <w:tcW w:type="dxa" w:w="2232"/>
            <w:vAlign w:val="center"/>
          </w:tcPr>
          <w:p>
            <w:pPr>
              <w:spacing w:after="0" w:before="0" w:line="269" w:lineRule="auto"/>
            </w:pPr>
            <w:r>
              <w:rPr>
                <w:rFonts w:ascii="Calibri" w:hAnsi="Calibri"/>
                <w:b w:val="0"/>
                <w:color w:val="000000"/>
                <w:sz w:val="19"/>
              </w:rPr>
              <w:t>Containerized install</w:t>
            </w:r>
          </w:p>
        </w:tc>
        <w:tc>
          <w:tcPr>
            <w:tcW w:type="dxa" w:w="4536"/>
            <w:vAlign w:val="center"/>
          </w:tcPr>
          <w:p>
            <w:pPr>
              <w:spacing w:after="0" w:before="0" w:line="269" w:lineRule="auto"/>
            </w:pPr>
            <w:r>
              <w:rPr>
                <w:rFonts w:ascii="Calibri" w:hAnsi="Calibri"/>
                <w:b w:val="0"/>
                <w:color w:val="000000"/>
                <w:sz w:val="19"/>
              </w:rPr>
              <w:t>Use `docker-compose.yml` to start MongoDB, the API gateway, the backend services, and the frontend together.</w:t>
            </w:r>
          </w:p>
        </w:tc>
        <w:tc>
          <w:tcPr>
            <w:tcW w:type="dxa" w:w="2592"/>
            <w:vAlign w:val="center"/>
          </w:tcPr>
          <w:p>
            <w:pPr>
              <w:spacing w:after="0" w:before="0" w:line="269" w:lineRule="auto"/>
            </w:pPr>
            <w:r>
              <w:rPr>
                <w:rFonts w:ascii="Calibri" w:hAnsi="Calibri"/>
                <w:b w:val="0"/>
                <w:color w:val="000000"/>
                <w:sz w:val="19"/>
              </w:rPr>
              <w:t>Best when you want a quick full-stack startup that mirrors the repo structure.</w:t>
            </w:r>
          </w:p>
        </w:tc>
      </w:tr>
      <w:tr>
        <w:tc>
          <w:tcPr>
            <w:tcW w:type="dxa" w:w="2232"/>
            <w:vAlign w:val="center"/>
          </w:tcPr>
          <w:p>
            <w:pPr>
              <w:spacing w:after="0" w:before="0" w:line="269" w:lineRule="auto"/>
            </w:pPr>
            <w:r>
              <w:rPr>
                <w:rFonts w:ascii="Calibri" w:hAnsi="Calibri"/>
                <w:b w:val="0"/>
                <w:color w:val="000000"/>
                <w:sz w:val="19"/>
              </w:rPr>
              <w:t>Local development install</w:t>
            </w:r>
          </w:p>
        </w:tc>
        <w:tc>
          <w:tcPr>
            <w:tcW w:type="dxa" w:w="4536"/>
            <w:vAlign w:val="center"/>
          </w:tcPr>
          <w:p>
            <w:pPr>
              <w:spacing w:after="0" w:before="0" w:line="269" w:lineRule="auto"/>
            </w:pPr>
            <w:r>
              <w:rPr>
                <w:rFonts w:ascii="Calibri" w:hAnsi="Calibri"/>
                <w:b w:val="0"/>
                <w:color w:val="000000"/>
                <w:sz w:val="19"/>
              </w:rPr>
              <w:t>Use the root `package.json` scripts and the Python requirements file to run services directly on your machine.</w:t>
            </w:r>
          </w:p>
        </w:tc>
        <w:tc>
          <w:tcPr>
            <w:tcW w:type="dxa" w:w="2592"/>
            <w:vAlign w:val="center"/>
          </w:tcPr>
          <w:p>
            <w:pPr>
              <w:spacing w:after="0" w:before="0" w:line="269" w:lineRule="auto"/>
            </w:pPr>
            <w:r>
              <w:rPr>
                <w:rFonts w:ascii="Calibri" w:hAnsi="Calibri"/>
                <w:b w:val="0"/>
                <w:color w:val="000000"/>
                <w:sz w:val="19"/>
              </w:rPr>
              <w:t>Best when you want to edit code, debug individual services, or work without Docker.</w:t>
            </w:r>
          </w:p>
        </w:tc>
      </w:tr>
    </w:tbl>
    <w:p/>
    <w:p>
      <w:pPr>
        <w:pStyle w:val="Heading1"/>
      </w:pPr>
      <w:r>
        <w:t>Containerized Setup</w:t>
      </w:r>
    </w:p>
    <w:p>
      <w:pPr>
        <w:pStyle w:val="ListNumber"/>
      </w:pPr>
      <w:r>
        <w:t>Install Docker and Docker Compose.</w:t>
      </w:r>
    </w:p>
    <w:p>
      <w:pPr>
        <w:pStyle w:val="ListNumber"/>
      </w:pPr>
      <w:r>
        <w:t>Make sure MongoDB is available through the compose stack or your own instance.</w:t>
      </w:r>
    </w:p>
    <w:p>
      <w:pPr>
        <w:pStyle w:val="ListNumber"/>
      </w:pPr>
      <w:r>
        <w:t>Review `docker-compose.yml` so you understand the exposed ports.</w:t>
      </w:r>
    </w:p>
    <w:p>
      <w:pPr>
        <w:pStyle w:val="Heading2"/>
      </w:pPr>
      <w:r>
        <w:t>Compose Ports and Service Roles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shd w:fill="E8EEF5"/>
            <w:vAlign w:val="center"/>
          </w:tcPr>
          <w:p>
            <w:pPr>
              <w:spacing w:after="0" w:before="0" w:line="269" w:lineRule="auto"/>
            </w:pPr>
            <w:r>
              <w:rPr>
                <w:rFonts w:ascii="Calibri" w:hAnsi="Calibri"/>
                <w:b/>
                <w:color w:val="1F3A5F"/>
                <w:sz w:val="20"/>
              </w:rPr>
              <w:t>Service</w:t>
            </w:r>
          </w:p>
        </w:tc>
        <w:tc>
          <w:tcPr>
            <w:tcW w:type="dxa" w:w="2232"/>
            <w:shd w:fill="E8EEF5"/>
            <w:vAlign w:val="center"/>
          </w:tcPr>
          <w:p>
            <w:pPr>
              <w:spacing w:after="0" w:before="0" w:line="269" w:lineRule="auto"/>
            </w:pPr>
            <w:r>
              <w:rPr>
                <w:rFonts w:ascii="Calibri" w:hAnsi="Calibri"/>
                <w:b/>
                <w:color w:val="1F3A5F"/>
                <w:sz w:val="20"/>
              </w:rPr>
              <w:t>Port Mapping</w:t>
            </w:r>
          </w:p>
        </w:tc>
        <w:tc>
          <w:tcPr>
            <w:tcW w:type="dxa" w:w="4320"/>
            <w:shd w:fill="E8EEF5"/>
            <w:vAlign w:val="center"/>
          </w:tcPr>
          <w:p>
            <w:pPr>
              <w:spacing w:after="0" w:before="0" w:line="269" w:lineRule="auto"/>
            </w:pPr>
            <w:r>
              <w:rPr>
                <w:rFonts w:ascii="Calibri" w:hAnsi="Calibri"/>
                <w:b/>
                <w:color w:val="1F3A5F"/>
                <w:sz w:val="20"/>
              </w:rPr>
              <w:t>Role</w:t>
            </w:r>
          </w:p>
        </w:tc>
      </w:tr>
      <w:tr>
        <w:tc>
          <w:tcPr>
            <w:tcW w:type="dxa" w:w="2376"/>
            <w:vAlign w:val="center"/>
          </w:tcPr>
          <w:p>
            <w:pPr>
              <w:spacing w:after="0" w:before="0" w:line="269" w:lineRule="auto"/>
            </w:pPr>
            <w:r>
              <w:rPr>
                <w:rFonts w:ascii="Calibri" w:hAnsi="Calibri"/>
                <w:b w:val="0"/>
                <w:color w:val="000000"/>
                <w:sz w:val="19"/>
              </w:rPr>
              <w:t>API gateway</w:t>
            </w:r>
          </w:p>
        </w:tc>
        <w:tc>
          <w:tcPr>
            <w:tcW w:type="dxa" w:w="2232"/>
            <w:vAlign w:val="center"/>
          </w:tcPr>
          <w:p>
            <w:pPr>
              <w:spacing w:after="0" w:before="0" w:line="269" w:lineRule="auto"/>
            </w:pPr>
            <w:r>
              <w:rPr>
                <w:rFonts w:ascii="Calibri" w:hAnsi="Calibri"/>
                <w:b w:val="0"/>
                <w:color w:val="000000"/>
                <w:sz w:val="19"/>
              </w:rPr>
              <w:t>5000:80</w:t>
            </w:r>
          </w:p>
        </w:tc>
        <w:tc>
          <w:tcPr>
            <w:tcW w:type="dxa" w:w="4320"/>
            <w:vAlign w:val="center"/>
          </w:tcPr>
          <w:p>
            <w:pPr>
              <w:spacing w:after="0" w:before="0" w:line="269" w:lineRule="auto"/>
            </w:pPr>
            <w:r>
              <w:rPr>
                <w:rFonts w:ascii="Calibri" w:hAnsi="Calibri"/>
                <w:b w:val="0"/>
                <w:color w:val="000000"/>
                <w:sz w:val="19"/>
              </w:rPr>
              <w:t>Routes browser traffic to the backend services.</w:t>
            </w:r>
          </w:p>
        </w:tc>
      </w:tr>
      <w:tr>
        <w:tc>
          <w:tcPr>
            <w:tcW w:type="dxa" w:w="2376"/>
            <w:vAlign w:val="center"/>
          </w:tcPr>
          <w:p>
            <w:pPr>
              <w:spacing w:after="0" w:before="0" w:line="269" w:lineRule="auto"/>
            </w:pPr>
            <w:r>
              <w:rPr>
                <w:rFonts w:ascii="Calibri" w:hAnsi="Calibri"/>
                <w:b w:val="0"/>
                <w:color w:val="000000"/>
                <w:sz w:val="19"/>
              </w:rPr>
              <w:t>Web app</w:t>
            </w:r>
          </w:p>
        </w:tc>
        <w:tc>
          <w:tcPr>
            <w:tcW w:type="dxa" w:w="2232"/>
            <w:vAlign w:val="center"/>
          </w:tcPr>
          <w:p>
            <w:pPr>
              <w:spacing w:after="0" w:before="0" w:line="269" w:lineRule="auto"/>
            </w:pPr>
            <w:r>
              <w:rPr>
                <w:rFonts w:ascii="Calibri" w:hAnsi="Calibri"/>
                <w:b w:val="0"/>
                <w:color w:val="000000"/>
                <w:sz w:val="19"/>
              </w:rPr>
              <w:t>3000:3000</w:t>
            </w:r>
          </w:p>
        </w:tc>
        <w:tc>
          <w:tcPr>
            <w:tcW w:type="dxa" w:w="4320"/>
            <w:vAlign w:val="center"/>
          </w:tcPr>
          <w:p>
            <w:pPr>
              <w:spacing w:after="0" w:before="0" w:line="269" w:lineRule="auto"/>
            </w:pPr>
            <w:r>
              <w:rPr>
                <w:rFonts w:ascii="Calibri" w:hAnsi="Calibri"/>
                <w:b w:val="0"/>
                <w:color w:val="000000"/>
                <w:sz w:val="19"/>
              </w:rPr>
              <w:t>Serves the VisionFlow frontend.</w:t>
            </w:r>
          </w:p>
        </w:tc>
      </w:tr>
      <w:tr>
        <w:tc>
          <w:tcPr>
            <w:tcW w:type="dxa" w:w="2376"/>
            <w:vAlign w:val="center"/>
          </w:tcPr>
          <w:p>
            <w:pPr>
              <w:spacing w:after="0" w:before="0" w:line="269" w:lineRule="auto"/>
            </w:pPr>
            <w:r>
              <w:rPr>
                <w:rFonts w:ascii="Calibri" w:hAnsi="Calibri"/>
                <w:b w:val="0"/>
                <w:color w:val="000000"/>
                <w:sz w:val="19"/>
              </w:rPr>
              <w:t>MongoDB</w:t>
            </w:r>
          </w:p>
        </w:tc>
        <w:tc>
          <w:tcPr>
            <w:tcW w:type="dxa" w:w="2232"/>
            <w:vAlign w:val="center"/>
          </w:tcPr>
          <w:p>
            <w:pPr>
              <w:spacing w:after="0" w:before="0" w:line="269" w:lineRule="auto"/>
            </w:pPr>
            <w:r>
              <w:rPr>
                <w:rFonts w:ascii="Calibri" w:hAnsi="Calibri"/>
                <w:b w:val="0"/>
                <w:color w:val="000000"/>
                <w:sz w:val="19"/>
              </w:rPr>
              <w:t>27017:27017</w:t>
            </w:r>
          </w:p>
        </w:tc>
        <w:tc>
          <w:tcPr>
            <w:tcW w:type="dxa" w:w="4320"/>
            <w:vAlign w:val="center"/>
          </w:tcPr>
          <w:p>
            <w:pPr>
              <w:spacing w:after="0" w:before="0" w:line="269" w:lineRule="auto"/>
            </w:pPr>
            <w:r>
              <w:rPr>
                <w:rFonts w:ascii="Calibri" w:hAnsi="Calibri"/>
                <w:b w:val="0"/>
                <w:color w:val="000000"/>
                <w:sz w:val="19"/>
              </w:rPr>
              <w:t>Stores the platform data.</w:t>
            </w:r>
          </w:p>
        </w:tc>
      </w:tr>
      <w:tr>
        <w:tc>
          <w:tcPr>
            <w:tcW w:type="dxa" w:w="2376"/>
            <w:vAlign w:val="center"/>
          </w:tcPr>
          <w:p>
            <w:pPr>
              <w:spacing w:after="0" w:before="0" w:line="269" w:lineRule="auto"/>
            </w:pPr>
            <w:r>
              <w:rPr>
                <w:rFonts w:ascii="Calibri" w:hAnsi="Calibri"/>
                <w:b w:val="0"/>
                <w:color w:val="000000"/>
                <w:sz w:val="19"/>
              </w:rPr>
              <w:t>Dataset service</w:t>
            </w:r>
          </w:p>
        </w:tc>
        <w:tc>
          <w:tcPr>
            <w:tcW w:type="dxa" w:w="2232"/>
            <w:vAlign w:val="center"/>
          </w:tcPr>
          <w:p>
            <w:pPr>
              <w:spacing w:after="0" w:before="0" w:line="269" w:lineRule="auto"/>
            </w:pPr>
            <w:r>
              <w:rPr>
                <w:rFonts w:ascii="Calibri" w:hAnsi="Calibri"/>
                <w:b w:val="0"/>
                <w:color w:val="000000"/>
                <w:sz w:val="19"/>
              </w:rPr>
              <w:t>internal 5003</w:t>
            </w:r>
          </w:p>
        </w:tc>
        <w:tc>
          <w:tcPr>
            <w:tcW w:type="dxa" w:w="4320"/>
            <w:vAlign w:val="center"/>
          </w:tcPr>
          <w:p>
            <w:pPr>
              <w:spacing w:after="0" w:before="0" w:line="269" w:lineRule="auto"/>
            </w:pPr>
            <w:r>
              <w:rPr>
                <w:rFonts w:ascii="Calibri" w:hAnsi="Calibri"/>
                <w:b w:val="0"/>
                <w:color w:val="000000"/>
                <w:sz w:val="19"/>
              </w:rPr>
              <w:t>Manages datasets, assets, and versions.</w:t>
            </w:r>
          </w:p>
        </w:tc>
      </w:tr>
      <w:tr>
        <w:tc>
          <w:tcPr>
            <w:tcW w:type="dxa" w:w="2376"/>
            <w:vAlign w:val="center"/>
          </w:tcPr>
          <w:p>
            <w:pPr>
              <w:spacing w:after="0" w:before="0" w:line="269" w:lineRule="auto"/>
            </w:pPr>
            <w:r>
              <w:rPr>
                <w:rFonts w:ascii="Calibri" w:hAnsi="Calibri"/>
                <w:b w:val="0"/>
                <w:color w:val="000000"/>
                <w:sz w:val="19"/>
              </w:rPr>
              <w:t>Project service</w:t>
            </w:r>
          </w:p>
        </w:tc>
        <w:tc>
          <w:tcPr>
            <w:tcW w:type="dxa" w:w="2232"/>
            <w:vAlign w:val="center"/>
          </w:tcPr>
          <w:p>
            <w:pPr>
              <w:spacing w:after="0" w:before="0" w:line="269" w:lineRule="auto"/>
            </w:pPr>
            <w:r>
              <w:rPr>
                <w:rFonts w:ascii="Calibri" w:hAnsi="Calibri"/>
                <w:b w:val="0"/>
                <w:color w:val="000000"/>
                <w:sz w:val="19"/>
              </w:rPr>
              <w:t>internal 5004</w:t>
            </w:r>
          </w:p>
        </w:tc>
        <w:tc>
          <w:tcPr>
            <w:tcW w:type="dxa" w:w="4320"/>
            <w:vAlign w:val="center"/>
          </w:tcPr>
          <w:p>
            <w:pPr>
              <w:spacing w:after="0" w:before="0" w:line="269" w:lineRule="auto"/>
            </w:pPr>
            <w:r>
              <w:rPr>
                <w:rFonts w:ascii="Calibri" w:hAnsi="Calibri"/>
                <w:b w:val="0"/>
                <w:color w:val="000000"/>
                <w:sz w:val="19"/>
              </w:rPr>
              <w:t>Manages projects and telemetry.</w:t>
            </w:r>
          </w:p>
        </w:tc>
      </w:tr>
      <w:tr>
        <w:tc>
          <w:tcPr>
            <w:tcW w:type="dxa" w:w="2376"/>
            <w:vAlign w:val="center"/>
          </w:tcPr>
          <w:p>
            <w:pPr>
              <w:spacing w:after="0" w:before="0" w:line="269" w:lineRule="auto"/>
            </w:pPr>
            <w:r>
              <w:rPr>
                <w:rFonts w:ascii="Calibri" w:hAnsi="Calibri"/>
                <w:b w:val="0"/>
                <w:color w:val="000000"/>
                <w:sz w:val="19"/>
              </w:rPr>
              <w:t>Training service</w:t>
            </w:r>
          </w:p>
        </w:tc>
        <w:tc>
          <w:tcPr>
            <w:tcW w:type="dxa" w:w="2232"/>
            <w:vAlign w:val="center"/>
          </w:tcPr>
          <w:p>
            <w:pPr>
              <w:spacing w:after="0" w:before="0" w:line="269" w:lineRule="auto"/>
            </w:pPr>
            <w:r>
              <w:rPr>
                <w:rFonts w:ascii="Calibri" w:hAnsi="Calibri"/>
                <w:b w:val="0"/>
                <w:color w:val="000000"/>
                <w:sz w:val="19"/>
              </w:rPr>
              <w:t>internal 5005</w:t>
            </w:r>
          </w:p>
        </w:tc>
        <w:tc>
          <w:tcPr>
            <w:tcW w:type="dxa" w:w="4320"/>
            <w:vAlign w:val="center"/>
          </w:tcPr>
          <w:p>
            <w:pPr>
              <w:spacing w:after="0" w:before="0" w:line="269" w:lineRule="auto"/>
            </w:pPr>
            <w:r>
              <w:rPr>
                <w:rFonts w:ascii="Calibri" w:hAnsi="Calibri"/>
                <w:b w:val="0"/>
                <w:color w:val="000000"/>
                <w:sz w:val="19"/>
              </w:rPr>
              <w:t>Runs training workflows.</w:t>
            </w:r>
          </w:p>
        </w:tc>
      </w:tr>
      <w:tr>
        <w:tc>
          <w:tcPr>
            <w:tcW w:type="dxa" w:w="2376"/>
            <w:vAlign w:val="center"/>
          </w:tcPr>
          <w:p>
            <w:pPr>
              <w:spacing w:after="0" w:before="0" w:line="269" w:lineRule="auto"/>
            </w:pPr>
            <w:r>
              <w:rPr>
                <w:rFonts w:ascii="Calibri" w:hAnsi="Calibri"/>
                <w:b w:val="0"/>
                <w:color w:val="000000"/>
                <w:sz w:val="19"/>
              </w:rPr>
              <w:t>Inference service</w:t>
            </w:r>
          </w:p>
        </w:tc>
        <w:tc>
          <w:tcPr>
            <w:tcW w:type="dxa" w:w="2232"/>
            <w:vAlign w:val="center"/>
          </w:tcPr>
          <w:p>
            <w:pPr>
              <w:spacing w:after="0" w:before="0" w:line="269" w:lineRule="auto"/>
            </w:pPr>
            <w:r>
              <w:rPr>
                <w:rFonts w:ascii="Calibri" w:hAnsi="Calibri"/>
                <w:b w:val="0"/>
                <w:color w:val="000000"/>
                <w:sz w:val="19"/>
              </w:rPr>
              <w:t>internal 5006</w:t>
            </w:r>
          </w:p>
        </w:tc>
        <w:tc>
          <w:tcPr>
            <w:tcW w:type="dxa" w:w="4320"/>
            <w:vAlign w:val="center"/>
          </w:tcPr>
          <w:p>
            <w:pPr>
              <w:spacing w:after="0" w:before="0" w:line="269" w:lineRule="auto"/>
            </w:pPr>
            <w:r>
              <w:rPr>
                <w:rFonts w:ascii="Calibri" w:hAnsi="Calibri"/>
                <w:b w:val="0"/>
                <w:color w:val="000000"/>
                <w:sz w:val="19"/>
              </w:rPr>
              <w:t>Runs model inference requests.</w:t>
            </w:r>
          </w:p>
        </w:tc>
      </w:tr>
    </w:tbl>
    <w:p/>
    <w:p>
      <w:pPr>
        <w:pStyle w:val="ListNumber"/>
      </w:pPr>
      <w:r>
        <w:t>Start the stack with Docker Compose.</w:t>
      </w:r>
    </w:p>
    <w:p>
      <w:pPr>
        <w:spacing w:after="80"/>
      </w:pPr>
      <w:r>
        <w:rPr>
          <w:rFonts w:ascii="Consolas" w:hAnsi="Consolas"/>
          <w:sz w:val="20"/>
        </w:rPr>
        <w:t>docker compose up --build</w:t>
      </w:r>
    </w:p>
    <w:p>
      <w:pPr>
        <w:pStyle w:val="ListNumber"/>
      </w:pPr>
      <w:r>
        <w:t>Open the web app in your browser after the containers finish starting.</w:t>
      </w:r>
    </w:p>
    <w:p>
      <w:pPr>
        <w:pStyle w:val="Heading1"/>
      </w:pPr>
      <w:r>
        <w:t>Local Development Setup</w:t>
      </w:r>
    </w:p>
    <w:p>
      <w:pPr>
        <w:pStyle w:val="ListBullet"/>
        <w:spacing w:after="80"/>
      </w:pPr>
      <w:r>
        <w:t>Install the Python dependencies listed in `requirements.txt` for the Python services.</w:t>
      </w:r>
    </w:p>
    <w:p>
      <w:pPr>
        <w:pStyle w:val="ListBullet"/>
        <w:spacing w:after="80"/>
      </w:pPr>
      <w:r>
        <w:t>Install the Node dependencies for the root orchestrator, the project service, and the web app.</w:t>
      </w:r>
    </w:p>
    <w:p>
      <w:pPr>
        <w:pStyle w:val="ListBullet"/>
        <w:spacing w:after="80"/>
      </w:pPr>
      <w:r>
        <w:t>Use the root `package.json` to install everything in one pass when possible.</w:t>
      </w:r>
    </w:p>
    <w:p>
      <w:pPr>
        <w:pStyle w:val="ListBullet"/>
        <w:spacing w:after="80"/>
      </w:pPr>
      <w:r>
        <w:t>Confirm that `visionflow.conf` points to the correct MongoDB URI, service ports, upload path, and dataset path for your machine.</w:t>
      </w:r>
    </w:p>
    <w:p>
      <w:pPr>
        <w:spacing w:after="80"/>
      </w:pPr>
      <w:r>
        <w:rPr>
          <w:rFonts w:ascii="Consolas" w:hAnsi="Consolas"/>
          <w:sz w:val="20"/>
        </w:rPr>
        <w:t>npm run install:all</w:t>
      </w:r>
    </w:p>
    <w:p>
      <w:pPr>
        <w:spacing w:after="80"/>
      </w:pPr>
      <w:r>
        <w:rPr>
          <w:rFonts w:ascii="Consolas" w:hAnsi="Consolas"/>
          <w:sz w:val="20"/>
        </w:rPr>
        <w:t>npm start</w:t>
      </w:r>
    </w:p>
    <w:p>
      <w:pPr>
        <w:pStyle w:val="ListBullet"/>
      </w:pPr>
      <w:r>
        <w:t>The root `start` script launches the API gateway proxy, project service, dataset service, training service, inference service, and the Vite web app together using `concurrently`.</w:t>
      </w:r>
    </w:p>
    <w:p>
      <w:pPr>
        <w:pStyle w:val="Heading1"/>
      </w:pPr>
      <w:r>
        <w:t>Setting Up VisionFlow</w:t>
      </w:r>
    </w:p>
    <w:p>
      <w:r>
        <w:t>Before you use the platform, make sure the configuration matches your environment. The key settings live in `visionflow.conf`, and several services read those values at startup.</w:t>
      </w:r>
    </w:p>
    <w:p>
      <w:pPr>
        <w:pStyle w:val="Heading2"/>
      </w:pPr>
      <w:r>
        <w:t>Key Setup Checks in visionflow.conf</w:t>
      </w:r>
    </w:p>
    <w:tbl>
      <w:tblPr>
        <w:tblStyle w:val="TableGrid"/>
        <w:tblW w:type="auto" w:w="0"/>
        <w:jc w:val="center"/>
        <w:tblLayout w:type="fixed"/>
        <w:tblLook w:firstColumn="1" w:firstRow="1" w:lastColumn="0" w:lastRow="0" w:noHBand="0" w:noVBand="1" w:val="04A0"/>
      </w:tblPr>
      <w:tblGrid>
        <w:gridCol w:w="4680"/>
        <w:gridCol w:w="4680"/>
      </w:tblGrid>
      <w:tr>
        <w:tc>
          <w:tcPr>
            <w:tcW w:type="dxa" w:w="2088"/>
            <w:shd w:fill="E8EEF5"/>
            <w:vAlign w:val="center"/>
          </w:tcPr>
          <w:p>
            <w:pPr>
              <w:spacing w:after="0" w:before="0" w:line="269" w:lineRule="auto"/>
            </w:pPr>
            <w:r>
              <w:rPr>
                <w:rFonts w:ascii="Calibri" w:hAnsi="Calibri"/>
                <w:b/>
                <w:color w:val="1F3A5F"/>
                <w:sz w:val="20"/>
              </w:rPr>
              <w:t>Area</w:t>
            </w:r>
          </w:p>
        </w:tc>
        <w:tc>
          <w:tcPr>
            <w:tcW w:type="dxa" w:w="7128"/>
            <w:shd w:fill="E8EEF5"/>
            <w:vAlign w:val="center"/>
          </w:tcPr>
          <w:p>
            <w:pPr>
              <w:spacing w:after="0" w:before="0" w:line="269" w:lineRule="auto"/>
            </w:pPr>
            <w:r>
              <w:rPr>
                <w:rFonts w:ascii="Calibri" w:hAnsi="Calibri"/>
                <w:b/>
                <w:color w:val="1F3A5F"/>
                <w:sz w:val="20"/>
              </w:rPr>
              <w:t>What to Confirm</w:t>
            </w:r>
          </w:p>
        </w:tc>
      </w:tr>
      <w:tr>
        <w:tc>
          <w:tcPr>
            <w:tcW w:type="dxa" w:w="2088"/>
            <w:vAlign w:val="center"/>
          </w:tcPr>
          <w:p>
            <w:pPr>
              <w:spacing w:after="0" w:before="0" w:line="269" w:lineRule="auto"/>
            </w:pPr>
            <w:r>
              <w:rPr>
                <w:rFonts w:ascii="Calibri" w:hAnsi="Calibri"/>
                <w:b w:val="0"/>
                <w:color w:val="000000"/>
                <w:sz w:val="19"/>
              </w:rPr>
              <w:t>MongoDB</w:t>
            </w:r>
          </w:p>
        </w:tc>
        <w:tc>
          <w:tcPr>
            <w:tcW w:type="dxa" w:w="7128"/>
            <w:vAlign w:val="center"/>
          </w:tcPr>
          <w:p>
            <w:pPr>
              <w:spacing w:after="0" w:before="0" w:line="269" w:lineRule="auto"/>
            </w:pPr>
            <w:r>
              <w:rPr>
                <w:rFonts w:ascii="Calibri" w:hAnsi="Calibri"/>
                <w:b w:val="0"/>
                <w:color w:val="000000"/>
                <w:sz w:val="19"/>
              </w:rPr>
              <w:t>Set `MONGO_URI` to your database host. The compose file uses `mongodb://mongo:27017/`, while local setups often use `mongodb://localhost:27017/`.</w:t>
            </w:r>
          </w:p>
        </w:tc>
      </w:tr>
      <w:tr>
        <w:tc>
          <w:tcPr>
            <w:tcW w:type="dxa" w:w="2088"/>
            <w:vAlign w:val="center"/>
          </w:tcPr>
          <w:p>
            <w:pPr>
              <w:spacing w:after="0" w:before="0" w:line="269" w:lineRule="auto"/>
            </w:pPr>
            <w:r>
              <w:rPr>
                <w:rFonts w:ascii="Calibri" w:hAnsi="Calibri"/>
                <w:b w:val="0"/>
                <w:color w:val="000000"/>
                <w:sz w:val="19"/>
              </w:rPr>
              <w:t>Storage</w:t>
            </w:r>
          </w:p>
        </w:tc>
        <w:tc>
          <w:tcPr>
            <w:tcW w:type="dxa" w:w="7128"/>
            <w:vAlign w:val="center"/>
          </w:tcPr>
          <w:p>
            <w:pPr>
              <w:spacing w:after="0" w:before="0" w:line="269" w:lineRule="auto"/>
            </w:pPr>
            <w:r>
              <w:rPr>
                <w:rFonts w:ascii="Calibri" w:hAnsi="Calibri"/>
                <w:b w:val="0"/>
                <w:color w:val="000000"/>
                <w:sz w:val="19"/>
              </w:rPr>
              <w:t>Confirm `UPLOAD_DIR` and `DATASET_DIR` point to writable folders on your machine.</w:t>
            </w:r>
          </w:p>
        </w:tc>
      </w:tr>
      <w:tr>
        <w:tc>
          <w:tcPr>
            <w:tcW w:type="dxa" w:w="2088"/>
            <w:vAlign w:val="center"/>
          </w:tcPr>
          <w:p>
            <w:pPr>
              <w:spacing w:after="0" w:before="0" w:line="269" w:lineRule="auto"/>
            </w:pPr>
            <w:r>
              <w:rPr>
                <w:rFonts w:ascii="Calibri" w:hAnsi="Calibri"/>
                <w:b w:val="0"/>
                <w:color w:val="000000"/>
                <w:sz w:val="19"/>
              </w:rPr>
              <w:t>Service ports</w:t>
            </w:r>
          </w:p>
        </w:tc>
        <w:tc>
          <w:tcPr>
            <w:tcW w:type="dxa" w:w="7128"/>
            <w:vAlign w:val="center"/>
          </w:tcPr>
          <w:p>
            <w:pPr>
              <w:spacing w:after="0" w:before="0" w:line="269" w:lineRule="auto"/>
            </w:pPr>
            <w:r>
              <w:rPr>
                <w:rFonts w:ascii="Calibri" w:hAnsi="Calibri"/>
                <w:b w:val="0"/>
                <w:color w:val="000000"/>
                <w:sz w:val="19"/>
              </w:rPr>
              <w:t>Verify the port values in the `[visionflow]` section so they do not conflict with other apps.</w:t>
            </w:r>
          </w:p>
        </w:tc>
      </w:tr>
      <w:tr>
        <w:tc>
          <w:tcPr>
            <w:tcW w:type="dxa" w:w="2088"/>
            <w:vAlign w:val="center"/>
          </w:tcPr>
          <w:p>
            <w:pPr>
              <w:spacing w:after="0" w:before="0" w:line="269" w:lineRule="auto"/>
            </w:pPr>
            <w:r>
              <w:rPr>
                <w:rFonts w:ascii="Calibri" w:hAnsi="Calibri"/>
                <w:b w:val="0"/>
                <w:color w:val="000000"/>
                <w:sz w:val="19"/>
              </w:rPr>
              <w:t>Training defaults</w:t>
            </w:r>
          </w:p>
        </w:tc>
        <w:tc>
          <w:tcPr>
            <w:tcW w:type="dxa" w:w="7128"/>
            <w:vAlign w:val="center"/>
          </w:tcPr>
          <w:p>
            <w:pPr>
              <w:spacing w:after="0" w:before="0" w:line="269" w:lineRule="auto"/>
            </w:pPr>
            <w:r>
              <w:rPr>
                <w:rFonts w:ascii="Calibri" w:hAnsi="Calibri"/>
                <w:b w:val="0"/>
                <w:color w:val="000000"/>
                <w:sz w:val="19"/>
              </w:rPr>
              <w:t>Review the `[TRAINING]`, `[LOCAL]`, `[MODEL]`, `[PREPROCESSING]`, and `[AUGMENTATION]` sections for device and model behavior.</w:t>
            </w:r>
          </w:p>
        </w:tc>
      </w:tr>
      <w:tr>
        <w:tc>
          <w:tcPr>
            <w:tcW w:type="dxa" w:w="2088"/>
            <w:vAlign w:val="center"/>
          </w:tcPr>
          <w:p>
            <w:pPr>
              <w:spacing w:after="0" w:before="0" w:line="269" w:lineRule="auto"/>
            </w:pPr>
            <w:r>
              <w:rPr>
                <w:rFonts w:ascii="Calibri" w:hAnsi="Calibri"/>
                <w:b w:val="0"/>
                <w:color w:val="000000"/>
                <w:sz w:val="19"/>
              </w:rPr>
              <w:t>Theme and UI</w:t>
            </w:r>
          </w:p>
        </w:tc>
        <w:tc>
          <w:tcPr>
            <w:tcW w:type="dxa" w:w="7128"/>
            <w:vAlign w:val="center"/>
          </w:tcPr>
          <w:p>
            <w:pPr>
              <w:spacing w:after="0" w:before="0" w:line="269" w:lineRule="auto"/>
            </w:pPr>
            <w:r>
              <w:rPr>
                <w:rFonts w:ascii="Calibri" w:hAnsi="Calibri"/>
                <w:b w:val="0"/>
                <w:color w:val="000000"/>
                <w:sz w:val="19"/>
              </w:rPr>
              <w:t>Use `[THEME]` and `WEB_APP_RESOLUTION` to match your desired frontend appearance and layout.</w:t>
            </w:r>
          </w:p>
        </w:tc>
      </w:tr>
    </w:tbl>
    <w:p/>
    <w:p>
      <w:pPr>
        <w:pStyle w:val="ListNumber"/>
      </w:pPr>
      <w:r>
        <w:t>Create or verify the MongoDB database.</w:t>
      </w:r>
    </w:p>
    <w:p>
      <w:pPr>
        <w:pStyle w:val="ListNumber"/>
      </w:pPr>
      <w:r>
        <w:t>Create the upload and dataset directories defined in `visionflow.conf`.</w:t>
      </w:r>
    </w:p>
    <w:p>
      <w:pPr>
        <w:pStyle w:val="ListNumber"/>
      </w:pPr>
      <w:r>
        <w:t>Install Python and Node dependencies.</w:t>
      </w:r>
    </w:p>
    <w:p>
      <w:pPr>
        <w:pStyle w:val="ListNumber"/>
      </w:pPr>
      <w:r>
        <w:t>Start the backend services and web app.</w:t>
      </w:r>
    </w:p>
    <w:p>
      <w:pPr>
        <w:pStyle w:val="ListNumber"/>
      </w:pPr>
      <w:r>
        <w:t>Open the UI and create your first project.</w:t>
      </w:r>
    </w:p>
    <w:p>
      <w:pPr>
        <w:pStyle w:val="Heading1"/>
      </w:pPr>
      <w:r>
        <w:t>How to Use VisionFlow</w:t>
      </w:r>
    </w:p>
    <w:p>
      <w:r>
        <w:t>Once the stack is running, the normal workflow is: create a project, upload assets, annotate data, train a model, run inference, and export results. The project service and dataset service are the main entry points for this flow.</w:t>
      </w:r>
    </w:p>
    <w:p>
      <w:pPr>
        <w:pStyle w:val="Heading2"/>
      </w:pPr>
      <w:r>
        <w:t>Typical VisionFlow Workflow</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fill="E8EEF5"/>
            <w:vAlign w:val="center"/>
          </w:tcPr>
          <w:p>
            <w:pPr>
              <w:spacing w:after="0" w:before="0" w:line="269" w:lineRule="auto"/>
            </w:pPr>
            <w:r>
              <w:rPr>
                <w:rFonts w:ascii="Calibri" w:hAnsi="Calibri"/>
                <w:b/>
                <w:color w:val="1F3A5F"/>
                <w:sz w:val="20"/>
              </w:rPr>
              <w:t>Step</w:t>
            </w:r>
          </w:p>
        </w:tc>
        <w:tc>
          <w:tcPr>
            <w:tcW w:type="dxa" w:w="6912"/>
            <w:shd w:fill="E8EEF5"/>
            <w:vAlign w:val="center"/>
          </w:tcPr>
          <w:p>
            <w:pPr>
              <w:spacing w:after="0" w:before="0" w:line="269" w:lineRule="auto"/>
            </w:pPr>
            <w:r>
              <w:rPr>
                <w:rFonts w:ascii="Calibri" w:hAnsi="Calibri"/>
                <w:b/>
                <w:color w:val="1F3A5F"/>
                <w:sz w:val="20"/>
              </w:rPr>
              <w:t>What Happens</w:t>
            </w:r>
          </w:p>
        </w:tc>
      </w:tr>
      <w:tr>
        <w:tc>
          <w:tcPr>
            <w:tcW w:type="dxa" w:w="2304"/>
            <w:vAlign w:val="center"/>
          </w:tcPr>
          <w:p>
            <w:pPr>
              <w:spacing w:after="0" w:before="0" w:line="269" w:lineRule="auto"/>
            </w:pPr>
            <w:r>
              <w:rPr>
                <w:rFonts w:ascii="Calibri" w:hAnsi="Calibri"/>
                <w:b w:val="0"/>
                <w:color w:val="000000"/>
                <w:sz w:val="19"/>
              </w:rPr>
              <w:t>1. Create a project</w:t>
            </w:r>
          </w:p>
        </w:tc>
        <w:tc>
          <w:tcPr>
            <w:tcW w:type="dxa" w:w="6912"/>
            <w:vAlign w:val="center"/>
          </w:tcPr>
          <w:p>
            <w:pPr>
              <w:spacing w:after="0" w:before="0" w:line="269" w:lineRule="auto"/>
            </w:pPr>
            <w:r>
              <w:rPr>
                <w:rFonts w:ascii="Calibri" w:hAnsi="Calibri"/>
                <w:b w:val="0"/>
                <w:color w:val="000000"/>
                <w:sz w:val="19"/>
              </w:rPr>
              <w:t>Use the project workflow in the web app to define the project name, type, labels, and visibility.</w:t>
            </w:r>
          </w:p>
        </w:tc>
      </w:tr>
      <w:tr>
        <w:tc>
          <w:tcPr>
            <w:tcW w:type="dxa" w:w="2304"/>
            <w:vAlign w:val="center"/>
          </w:tcPr>
          <w:p>
            <w:pPr>
              <w:spacing w:after="0" w:before="0" w:line="269" w:lineRule="auto"/>
            </w:pPr>
            <w:r>
              <w:rPr>
                <w:rFonts w:ascii="Calibri" w:hAnsi="Calibri"/>
                <w:b w:val="0"/>
                <w:color w:val="000000"/>
                <w:sz w:val="19"/>
              </w:rPr>
              <w:t>2. Upload data</w:t>
            </w:r>
          </w:p>
        </w:tc>
        <w:tc>
          <w:tcPr>
            <w:tcW w:type="dxa" w:w="6912"/>
            <w:vAlign w:val="center"/>
          </w:tcPr>
          <w:p>
            <w:pPr>
              <w:spacing w:after="0" w:before="0" w:line="269" w:lineRule="auto"/>
            </w:pPr>
            <w:r>
              <w:rPr>
                <w:rFonts w:ascii="Calibri" w:hAnsi="Calibri"/>
                <w:b w:val="0"/>
                <w:color w:val="000000"/>
                <w:sz w:val="19"/>
              </w:rPr>
              <w:t>Add images or batches through the upload screens. Files are stored through the dataset and project services.</w:t>
            </w:r>
          </w:p>
        </w:tc>
      </w:tr>
      <w:tr>
        <w:tc>
          <w:tcPr>
            <w:tcW w:type="dxa" w:w="2304"/>
            <w:vAlign w:val="center"/>
          </w:tcPr>
          <w:p>
            <w:pPr>
              <w:spacing w:after="0" w:before="0" w:line="269" w:lineRule="auto"/>
            </w:pPr>
            <w:r>
              <w:rPr>
                <w:rFonts w:ascii="Calibri" w:hAnsi="Calibri"/>
                <w:b w:val="0"/>
                <w:color w:val="000000"/>
                <w:sz w:val="19"/>
              </w:rPr>
              <w:t>3. Annotate assets</w:t>
            </w:r>
          </w:p>
        </w:tc>
        <w:tc>
          <w:tcPr>
            <w:tcW w:type="dxa" w:w="6912"/>
            <w:vAlign w:val="center"/>
          </w:tcPr>
          <w:p>
            <w:pPr>
              <w:spacing w:after="0" w:before="0" w:line="269" w:lineRule="auto"/>
            </w:pPr>
            <w:r>
              <w:rPr>
                <w:rFonts w:ascii="Calibri" w:hAnsi="Calibri"/>
                <w:b w:val="0"/>
                <w:color w:val="000000"/>
                <w:sz w:val="19"/>
              </w:rPr>
              <w:t>Use the annotation UI to label objects and review samples.</w:t>
            </w:r>
          </w:p>
        </w:tc>
      </w:tr>
      <w:tr>
        <w:tc>
          <w:tcPr>
            <w:tcW w:type="dxa" w:w="2304"/>
            <w:vAlign w:val="center"/>
          </w:tcPr>
          <w:p>
            <w:pPr>
              <w:spacing w:after="0" w:before="0" w:line="269" w:lineRule="auto"/>
            </w:pPr>
            <w:r>
              <w:rPr>
                <w:rFonts w:ascii="Calibri" w:hAnsi="Calibri"/>
                <w:b w:val="0"/>
                <w:color w:val="000000"/>
                <w:sz w:val="19"/>
              </w:rPr>
              <w:t>4. Train a model</w:t>
            </w:r>
          </w:p>
        </w:tc>
        <w:tc>
          <w:tcPr>
            <w:tcW w:type="dxa" w:w="6912"/>
            <w:vAlign w:val="center"/>
          </w:tcPr>
          <w:p>
            <w:pPr>
              <w:spacing w:after="0" w:before="0" w:line="269" w:lineRule="auto"/>
            </w:pPr>
            <w:r>
              <w:rPr>
                <w:rFonts w:ascii="Calibri" w:hAnsi="Calibri"/>
                <w:b w:val="0"/>
                <w:color w:val="000000"/>
                <w:sz w:val="19"/>
              </w:rPr>
              <w:t>Launch training with the training service and adjust the training defaults from the config when needed.</w:t>
            </w:r>
          </w:p>
        </w:tc>
      </w:tr>
      <w:tr>
        <w:tc>
          <w:tcPr>
            <w:tcW w:type="dxa" w:w="2304"/>
            <w:vAlign w:val="center"/>
          </w:tcPr>
          <w:p>
            <w:pPr>
              <w:spacing w:after="0" w:before="0" w:line="269" w:lineRule="auto"/>
            </w:pPr>
            <w:r>
              <w:rPr>
                <w:rFonts w:ascii="Calibri" w:hAnsi="Calibri"/>
                <w:b w:val="0"/>
                <w:color w:val="000000"/>
                <w:sz w:val="19"/>
              </w:rPr>
              <w:t>5. Run inference</w:t>
            </w:r>
          </w:p>
        </w:tc>
        <w:tc>
          <w:tcPr>
            <w:tcW w:type="dxa" w:w="6912"/>
            <w:vAlign w:val="center"/>
          </w:tcPr>
          <w:p>
            <w:pPr>
              <w:spacing w:after="0" w:before="0" w:line="269" w:lineRule="auto"/>
            </w:pPr>
            <w:r>
              <w:rPr>
                <w:rFonts w:ascii="Calibri" w:hAnsi="Calibri"/>
                <w:b w:val="0"/>
                <w:color w:val="000000"/>
                <w:sz w:val="19"/>
              </w:rPr>
              <w:t>Send images or batches through the inference path to generate predictions.</w:t>
            </w:r>
          </w:p>
        </w:tc>
      </w:tr>
      <w:tr>
        <w:tc>
          <w:tcPr>
            <w:tcW w:type="dxa" w:w="2304"/>
            <w:vAlign w:val="center"/>
          </w:tcPr>
          <w:p>
            <w:pPr>
              <w:spacing w:after="0" w:before="0" w:line="269" w:lineRule="auto"/>
            </w:pPr>
            <w:r>
              <w:rPr>
                <w:rFonts w:ascii="Calibri" w:hAnsi="Calibri"/>
                <w:b w:val="0"/>
                <w:color w:val="000000"/>
                <w:sz w:val="19"/>
              </w:rPr>
              <w:t>6. Export results</w:t>
            </w:r>
          </w:p>
        </w:tc>
        <w:tc>
          <w:tcPr>
            <w:tcW w:type="dxa" w:w="6912"/>
            <w:vAlign w:val="center"/>
          </w:tcPr>
          <w:p>
            <w:pPr>
              <w:spacing w:after="0" w:before="0" w:line="269" w:lineRule="auto"/>
            </w:pPr>
            <w:r>
              <w:rPr>
                <w:rFonts w:ascii="Calibri" w:hAnsi="Calibri"/>
                <w:b w:val="0"/>
                <w:color w:val="000000"/>
                <w:sz w:val="19"/>
              </w:rPr>
              <w:t>Use the export flow to package datasets, versions, or model outputs.</w:t>
            </w:r>
          </w:p>
        </w:tc>
      </w:tr>
    </w:tbl>
    <w:p/>
    <w:p>
      <w:pPr>
        <w:pStyle w:val="Heading2"/>
      </w:pPr>
      <w:r>
        <w:t>Practical usage notes:</w:t>
      </w:r>
    </w:p>
    <w:p>
      <w:pPr>
        <w:pStyle w:val="ListBullet"/>
        <w:spacing w:after="80"/>
      </w:pPr>
      <w:r>
        <w:t>The dataset service serves uploaded assets and dataset files, so asset URLs will often be routed through `/uploads/...` paths.</w:t>
      </w:r>
    </w:p>
    <w:p>
      <w:pPr>
        <w:pStyle w:val="ListBullet"/>
        <w:spacing w:after="80"/>
      </w:pPr>
      <w:r>
        <w:t>The project service keeps telemetry and KPI events, which helps with monitoring and real-time status views.</w:t>
      </w:r>
    </w:p>
    <w:p>
      <w:pPr>
        <w:pStyle w:val="ListBullet"/>
        <w:spacing w:after="80"/>
      </w:pPr>
      <w:r>
        <w:t>The web app is built with Vite and React, so changes can usually be seen quickly in development mode.</w:t>
      </w:r>
    </w:p>
    <w:p>
      <w:pPr>
        <w:pStyle w:val="ListBullet"/>
        <w:spacing w:after="80"/>
      </w:pPr>
      <w:r>
        <w:t>If training or inference jobs are long-running, expect them to be handled by the worker and service layers rather than in the browser.</w:t>
      </w:r>
    </w:p>
    <w:p>
      <w:pPr>
        <w:pStyle w:val="Heading1"/>
      </w:pPr>
      <w:r>
        <w:t>Troubleshooting</w:t>
      </w:r>
    </w:p>
    <w:p>
      <w:pPr>
        <w:pStyle w:val="Heading2"/>
      </w:pPr>
      <w:r>
        <w:t>Common Issues and Fixes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shd w:fill="E8EEF5"/>
            <w:vAlign w:val="center"/>
          </w:tcPr>
          <w:p>
            <w:pPr>
              <w:spacing w:after="0" w:before="0" w:line="269" w:lineRule="auto"/>
            </w:pPr>
            <w:r>
              <w:rPr>
                <w:rFonts w:ascii="Calibri" w:hAnsi="Calibri"/>
                <w:b/>
                <w:color w:val="1F3A5F"/>
                <w:sz w:val="20"/>
              </w:rPr>
              <w:t>Issue</w:t>
            </w:r>
          </w:p>
        </w:tc>
        <w:tc>
          <w:tcPr>
            <w:tcW w:type="dxa" w:w="6696"/>
            <w:shd w:fill="E8EEF5"/>
            <w:vAlign w:val="center"/>
          </w:tcPr>
          <w:p>
            <w:pPr>
              <w:spacing w:after="0" w:before="0" w:line="269" w:lineRule="auto"/>
            </w:pPr>
            <w:r>
              <w:rPr>
                <w:rFonts w:ascii="Calibri" w:hAnsi="Calibri"/>
                <w:b/>
                <w:color w:val="1F3A5F"/>
                <w:sz w:val="20"/>
              </w:rPr>
              <w:t>What to Check</w:t>
            </w:r>
          </w:p>
        </w:tc>
      </w:tr>
      <w:tr>
        <w:tc>
          <w:tcPr>
            <w:tcW w:type="dxa" w:w="2520"/>
            <w:vAlign w:val="center"/>
          </w:tcPr>
          <w:p>
            <w:pPr>
              <w:spacing w:after="0" w:before="0" w:line="269" w:lineRule="auto"/>
            </w:pPr>
            <w:r>
              <w:rPr>
                <w:rFonts w:ascii="Calibri" w:hAnsi="Calibri"/>
                <w:b w:val="0"/>
                <w:color w:val="000000"/>
                <w:sz w:val="19"/>
              </w:rPr>
              <w:t>MongoDB connection errors</w:t>
            </w:r>
          </w:p>
        </w:tc>
        <w:tc>
          <w:tcPr>
            <w:tcW w:type="dxa" w:w="6696"/>
            <w:vAlign w:val="center"/>
          </w:tcPr>
          <w:p>
            <w:pPr>
              <w:spacing w:after="0" w:before="0" w:line="269" w:lineRule="auto"/>
            </w:pPr>
            <w:r>
              <w:rPr>
                <w:rFonts w:ascii="Calibri" w:hAnsi="Calibri"/>
                <w:b w:val="0"/>
                <w:color w:val="000000"/>
                <w:sz w:val="19"/>
              </w:rPr>
              <w:t>Check `MONGO_URI`, confirm MongoDB is running, and verify the database name used by the services.</w:t>
            </w:r>
          </w:p>
        </w:tc>
      </w:tr>
      <w:tr>
        <w:tc>
          <w:tcPr>
            <w:tcW w:type="dxa" w:w="2520"/>
            <w:vAlign w:val="center"/>
          </w:tcPr>
          <w:p>
            <w:pPr>
              <w:spacing w:after="0" w:before="0" w:line="269" w:lineRule="auto"/>
            </w:pPr>
            <w:r>
              <w:rPr>
                <w:rFonts w:ascii="Calibri" w:hAnsi="Calibri"/>
                <w:b w:val="0"/>
                <w:color w:val="000000"/>
                <w:sz w:val="19"/>
              </w:rPr>
              <w:t>Ports already in use</w:t>
            </w:r>
          </w:p>
        </w:tc>
        <w:tc>
          <w:tcPr>
            <w:tcW w:type="dxa" w:w="6696"/>
            <w:vAlign w:val="center"/>
          </w:tcPr>
          <w:p>
            <w:pPr>
              <w:spacing w:after="0" w:before="0" w:line="269" w:lineRule="auto"/>
            </w:pPr>
            <w:r>
              <w:rPr>
                <w:rFonts w:ascii="Calibri" w:hAnsi="Calibri"/>
                <w:b w:val="0"/>
                <w:color w:val="000000"/>
                <w:sz w:val="19"/>
              </w:rPr>
              <w:t>Adjust the port values in `visionflow.conf` or stop the conflicting process.</w:t>
            </w:r>
          </w:p>
        </w:tc>
      </w:tr>
      <w:tr>
        <w:tc>
          <w:tcPr>
            <w:tcW w:type="dxa" w:w="2520"/>
            <w:vAlign w:val="center"/>
          </w:tcPr>
          <w:p>
            <w:pPr>
              <w:spacing w:after="0" w:before="0" w:line="269" w:lineRule="auto"/>
            </w:pPr>
            <w:r>
              <w:rPr>
                <w:rFonts w:ascii="Calibri" w:hAnsi="Calibri"/>
                <w:b w:val="0"/>
                <w:color w:val="000000"/>
                <w:sz w:val="19"/>
              </w:rPr>
              <w:t>Uploads not appearing</w:t>
            </w:r>
          </w:p>
        </w:tc>
        <w:tc>
          <w:tcPr>
            <w:tcW w:type="dxa" w:w="6696"/>
            <w:vAlign w:val="center"/>
          </w:tcPr>
          <w:p>
            <w:pPr>
              <w:spacing w:after="0" w:before="0" w:line="269" w:lineRule="auto"/>
            </w:pPr>
            <w:r>
              <w:rPr>
                <w:rFonts w:ascii="Calibri" w:hAnsi="Calibri"/>
                <w:b w:val="0"/>
                <w:color w:val="000000"/>
                <w:sz w:val="19"/>
              </w:rPr>
              <w:t>Confirm the upload and dataset directories exist and are writable.</w:t>
            </w:r>
          </w:p>
        </w:tc>
      </w:tr>
      <w:tr>
        <w:tc>
          <w:tcPr>
            <w:tcW w:type="dxa" w:w="2520"/>
            <w:vAlign w:val="center"/>
          </w:tcPr>
          <w:p>
            <w:pPr>
              <w:spacing w:after="0" w:before="0" w:line="269" w:lineRule="auto"/>
            </w:pPr>
            <w:r>
              <w:rPr>
                <w:rFonts w:ascii="Calibri" w:hAnsi="Calibri"/>
                <w:b w:val="0"/>
                <w:color w:val="000000"/>
                <w:sz w:val="19"/>
              </w:rPr>
              <w:t>Frontend cannot reach APIs</w:t>
            </w:r>
          </w:p>
        </w:tc>
        <w:tc>
          <w:tcPr>
            <w:tcW w:type="dxa" w:w="6696"/>
            <w:vAlign w:val="center"/>
          </w:tcPr>
          <w:p>
            <w:pPr>
              <w:spacing w:after="0" w:before="0" w:line="269" w:lineRule="auto"/>
            </w:pPr>
            <w:r>
              <w:rPr>
                <w:rFonts w:ascii="Calibri" w:hAnsi="Calibri"/>
                <w:b w:val="0"/>
                <w:color w:val="000000"/>
                <w:sz w:val="19"/>
              </w:rPr>
              <w:t>Make sure the API gateway and service ports match the web app configuration.</w:t>
            </w:r>
          </w:p>
        </w:tc>
      </w:tr>
      <w:tr>
        <w:tc>
          <w:tcPr>
            <w:tcW w:type="dxa" w:w="2520"/>
            <w:vAlign w:val="center"/>
          </w:tcPr>
          <w:p>
            <w:pPr>
              <w:spacing w:after="0" w:before="0" w:line="269" w:lineRule="auto"/>
            </w:pPr>
            <w:r>
              <w:rPr>
                <w:rFonts w:ascii="Calibri" w:hAnsi="Calibri"/>
                <w:b w:val="0"/>
                <w:color w:val="000000"/>
                <w:sz w:val="19"/>
              </w:rPr>
              <w:t>Training fails to start</w:t>
            </w:r>
          </w:p>
        </w:tc>
        <w:tc>
          <w:tcPr>
            <w:tcW w:type="dxa" w:w="6696"/>
            <w:vAlign w:val="center"/>
          </w:tcPr>
          <w:p>
            <w:pPr>
              <w:spacing w:after="0" w:before="0" w:line="269" w:lineRule="auto"/>
            </w:pPr>
            <w:r>
              <w:rPr>
                <w:rFonts w:ascii="Calibri" w:hAnsi="Calibri"/>
                <w:b w:val="0"/>
                <w:color w:val="000000"/>
                <w:sz w:val="19"/>
              </w:rPr>
              <w:t>Verify the Python dependencies, model path, and device settings in the config.</w:t>
            </w:r>
          </w:p>
        </w:tc>
      </w:tr>
    </w:tbl>
    <w:p/>
    <w:p>
      <w:pPr>
        <w:pStyle w:val="Heading1"/>
      </w:pPr>
      <w:r>
        <w:t>Summary</w:t>
      </w:r>
    </w:p>
    <w:p>
      <w:r>
        <w:t>VisionFlow is easiest to operate when the config file, storage paths, and service ports are aligned before startup. After that, the workflow is straightforward: launch the stack, create a project, bring in data, annotate, train, infer, and export. This document should serve as a practical reference for getting the platform running and using it day to day.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8"/>
      </w:rPr>
      <w:t>VisionFlow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