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3e33a6"/>
          <w:sz w:val="36"/>
          <w:szCs w:val="36"/>
        </w:rPr>
        <w:t xml:space="preserve">PART 3 — PROBLEM DEFINITION</w:t>
      </w:r>
    </w:p>
    <w:p>
      <w:pPr>
        <w:spacing w:after="60"/>
      </w:pPr>
      <w:r>
        <w:rPr>
          <w:b/>
          <w:bCs/>
          <w:color w:val="1e293b"/>
          <w:sz w:val="26"/>
          <w:szCs w:val="26"/>
        </w:rPr>
        <w:t xml:space="preserve">Increasing New-Category Adoption Among Habituated Blinkit Customers</w:t>
      </w:r>
    </w:p>
    <w:p>
      <w:pPr>
        <w:pBdr>
          <w:bottom w:val="single" w:color="F8CB46" w:sz="6"/>
        </w:pBdr>
        <w:spacing w:after="220"/>
      </w:pPr>
      <w:r>
        <w:rPr>
          <w:i/>
          <w:iCs/>
          <w:color w:val="64748b"/>
          <w:sz w:val="18"/>
          <w:szCs w:val="18"/>
        </w:rPr>
        <w:t xml:space="preserve">LENS: Listening Engine for Shoppers  ·  Growth Team  ·  Evidence base: n=50 survey + 1,310 classified reviews</w:t>
      </w:r>
    </w:p>
    <w:p>
      <w:pPr>
        <w:pStyle w:val="Heading1"/>
        <w:spacing w:after="120" w:before="280"/>
      </w:pPr>
      <w:r>
        <w:rPr>
          <w:b/>
          <w:bCs/>
          <w:color w:val="1e293b"/>
          <w:sz w:val="30"/>
          <w:szCs w:val="30"/>
        </w:rPr>
        <w:t xml:space="preserve">1. Target User Segment</w:t>
      </w:r>
    </w:p>
    <w:p>
      <w:pPr>
        <w:spacing w:after="100" w:line="276"/>
      </w:pPr>
      <w:r>
        <w:rPr>
          <w:b/>
          <w:bCs/>
          <w:color w:val="1e293b"/>
          <w:sz w:val="21"/>
          <w:szCs w:val="21"/>
        </w:rPr>
        <w:t xml:space="preserve">The Habituated Metro Loyalist — </w:t>
      </w:r>
      <w:r>
        <w:rPr>
          <w:sz w:val="21"/>
          <w:szCs w:val="21"/>
        </w:rPr>
        <w:t xml:space="preserve">18–35, orders 1–5× weekly, Blinkit-primary, urban.</w:t>
      </w:r>
    </w:p>
    <w:p>
      <w:pPr>
        <w:spacing w:after="100" w:line="276"/>
      </w:pPr>
      <w:r>
        <w:rPr>
          <w:color w:val="222222"/>
          <w:sz w:val="21"/>
          <w:szCs w:val="21"/>
        </w:rPr>
        <w:t xml:space="preserve">I have deliberately chosen the segment where the problem is hardest to dismiss. In the survey (n=50), 42 of 50 respondents fall in the 18–35 band and Blinkit is the dominant app. This is not a segment that lacks access, income, or app fluency — they are the platform's best customers by frequency. That is precisely what makes them the right target: their failure to explore new categories cannot be explained by awareness or affordability. If the most engaged users do not cross categories, the barrier is structural — and structural barriers are what product can move.</w:t>
      </w:r>
    </w:p>
    <w:p>
      <w:pPr>
        <w:spacing w:after="100" w:line="276"/>
      </w:pPr>
      <w:r>
        <w:rPr>
          <w:color w:val="222222"/>
          <w:sz w:val="21"/>
          <w:szCs w:val="21"/>
        </w:rPr>
        <w:t xml:space="preserve">A senior PM narrows before building. This is deliberately NOT new users (an activation problem), lapsed users (a retention problem), or low-frequency users (an engagement problem). It targets the habituated core, because a 2-point lift in category adoption here compounds across the highest-LTV cohort Blinkit has.</w:t>
      </w:r>
    </w:p>
    <w:p>
      <w:pPr>
        <w:pStyle w:val="Heading1"/>
        <w:spacing w:after="120" w:before="280"/>
      </w:pPr>
      <w:r>
        <w:rPr>
          <w:b/>
          <w:bCs/>
          <w:color w:val="1e293b"/>
          <w:sz w:val="30"/>
          <w:szCs w:val="30"/>
        </w:rPr>
        <w:t xml:space="preserve">2. Problem Statement</w:t>
      </w:r>
    </w:p>
    <w:tbl>
      <w:tblPr>
        <w:tblW w:type="pct" w:w="100%"/>
        <w:tblBorders>
          <w:top w:val="single" w:color="F8CB46" w:sz="2"/>
          <w:left w:val="single" w:color="F8CB46" w:sz="18"/>
          <w:bottom w:val="single" w:color="F8CB46" w:sz="2"/>
          <w:right w:val="single" w:color="F8CB46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B27B00"/>
                <w:sz w:val="21"/>
                <w:szCs w:val="21"/>
              </w:rPr>
              <w:t xml:space="preserve">Problem statement</w:t>
            </w:r>
          </w:p>
          <w:p>
            <w:r>
              <w:rPr>
                <w:color w:val="554422"/>
                <w:sz w:val="21"/>
                <w:szCs w:val="21"/>
              </w:rPr>
              <w:t xml:space="preserve">The habituated Blinkit customer has trained the app to serve one job — the fast grocery top-up — and the app has trained them back. Each session is a sub-10-minute mission to refill a fixed basket. When a need arises in an unfamiliar, judgement-heavy category (beauty, pet, baby, personal care), the customer never even considers Blinkit: the mental model does not include it, and at the point of decision the app offers no trust signal strong enough to overcome the risk of a first purchase. So the customer leaves — to Amazon, Nykaa, or a chemist — and Blinkit forfeits share of that customer's wallet on exactly the higher-margin categories it most wants to grow.</w:t>
            </w:r>
          </w:p>
        </w:tc>
      </w:tr>
    </w:tbl>
    <w:p>
      <w:pPr>
        <w:spacing w:after="100" w:before="120" w:line="276"/>
      </w:pPr>
      <w:r>
        <w:rPr>
          <w:b/>
          <w:bCs/>
          <w:sz w:val="21"/>
          <w:szCs w:val="21"/>
        </w:rPr>
        <w:t xml:space="preserve">Grounded, not asserted. </w:t>
      </w:r>
      <w:r>
        <w:rPr>
          <w:sz w:val="21"/>
          <w:szCs w:val="21"/>
        </w:rPr>
        <w:t xml:space="preserve">From the survey: 58% (29/50) buy the same products every time. 48% (24/50) open the app for an urgent need. 98% (49/50) complete a session in under ten minutes. Only 8% (4/50) have ever opened Blinkit just to explore. The behaviour is not casual repetition — it is a tightly optimised habit loop, and the app is optimised to reward it.</w:t>
      </w:r>
    </w:p>
    <w:p>
      <w:pPr>
        <w:spacing w:after="100" w:line="276"/>
      </w:pPr>
      <w:r>
        <w:rPr>
          <w:b/>
          <w:bCs/>
          <w:sz w:val="21"/>
          <w:szCs w:val="21"/>
        </w:rPr>
        <w:t xml:space="preserve">The framing choice that matters: </w:t>
      </w:r>
      <w:r>
        <w:rPr>
          <w:sz w:val="21"/>
          <w:szCs w:val="21"/>
        </w:rPr>
        <w:t xml:space="preserve">the problem is NOT “users don't know Blinkit sells other things” (an awareness/marketing problem with a merchandising fix). It is “users don't consider Blinkit at the moment of a non-grocery need, and lack the confidence to act if they did” (a mental-model + trust problem requiring a product intervention at the point of decision). Diagnosing it as awareness would send the whole project toward banners and push notifications — the wrong solution. Naming it correctly is the highest-leverage act in Part 3.</w:t>
      </w:r>
    </w:p>
    <w:p>
      <w:pPr>
        <w:pStyle w:val="Heading1"/>
        <w:spacing w:after="120" w:before="280"/>
      </w:pPr>
      <w:r>
        <w:rPr>
          <w:b/>
          <w:bCs/>
          <w:color w:val="1e293b"/>
          <w:sz w:val="30"/>
          <w:szCs w:val="30"/>
        </w:rPr>
        <w:t xml:space="preserve">3. Root Cause Analysis</w:t>
      </w:r>
    </w:p>
    <w:p>
      <w:pPr>
        <w:spacing w:after="100" w:line="276"/>
      </w:pPr>
      <w:r>
        <w:rPr>
          <w:color w:val="222222"/>
          <w:sz w:val="21"/>
          <w:szCs w:val="21"/>
        </w:rPr>
        <w:t xml:space="preserve">Two lenses — a 5 Whys to reach the mechanism, and a Fishbone to show the cause is systemic, not a single broken feature.</w:t>
      </w:r>
    </w:p>
    <w:p>
      <w:pPr>
        <w:pStyle w:val="Heading2"/>
        <w:spacing w:after="90" w:before="220"/>
      </w:pPr>
      <w:r>
        <w:rPr>
          <w:b/>
          <w:bCs/>
          <w:color w:val="3e33a6"/>
          <w:sz w:val="24"/>
          <w:szCs w:val="24"/>
        </w:rPr>
        <w:t xml:space="preserve">5 Whys</w:t>
      </w:r>
    </w:p>
    <w:p>
      <w:pPr>
        <w:spacing w:after="70" w:line="272"/>
      </w:pPr>
      <w:r>
        <w:rPr>
          <w:b/>
          <w:bCs/>
          <w:color w:val="3e33a6"/>
          <w:sz w:val="21"/>
          <w:szCs w:val="21"/>
        </w:rPr>
        <w:t xml:space="preserve">Why 1. </w:t>
      </w:r>
      <w:r>
        <w:rPr>
          <w:b/>
          <w:bCs/>
          <w:sz w:val="21"/>
          <w:szCs w:val="21"/>
        </w:rPr>
        <w:t xml:space="preserve">Why don't habituated users buy from new categories?  </w:t>
      </w:r>
      <w:r>
        <w:rPr>
          <w:sz w:val="21"/>
          <w:szCs w:val="21"/>
        </w:rPr>
        <w:t xml:space="preserve">→ They don't consider Blinkit when a non-grocery need arises.</w:t>
      </w:r>
    </w:p>
    <w:p>
      <w:pPr>
        <w:spacing w:after="70" w:line="272"/>
      </w:pPr>
      <w:r>
        <w:rPr>
          <w:b/>
          <w:bCs/>
          <w:color w:val="3e33a6"/>
          <w:sz w:val="21"/>
          <w:szCs w:val="21"/>
        </w:rPr>
        <w:t xml:space="preserve">Why 2. </w:t>
      </w:r>
      <w:r>
        <w:rPr>
          <w:b/>
          <w:bCs/>
          <w:sz w:val="21"/>
          <w:szCs w:val="21"/>
        </w:rPr>
        <w:t xml:space="preserve">Why don't they consider it?  </w:t>
      </w:r>
      <w:r>
        <w:rPr>
          <w:sz w:val="21"/>
          <w:szCs w:val="21"/>
        </w:rPr>
        <w:t xml:space="preserve">→ In their mental model, Blinkit is a grocery / emergency top-up shop, not a broad retailer. (98% finish in under 10 min; 48% arrive with an urgent, specific need.)</w:t>
      </w:r>
    </w:p>
    <w:p>
      <w:pPr>
        <w:spacing w:after="70" w:line="272"/>
      </w:pPr>
      <w:r>
        <w:rPr>
          <w:b/>
          <w:bCs/>
          <w:color w:val="3e33a6"/>
          <w:sz w:val="21"/>
          <w:szCs w:val="21"/>
        </w:rPr>
        <w:t xml:space="preserve">Why 3. </w:t>
      </w:r>
      <w:r>
        <w:rPr>
          <w:b/>
          <w:bCs/>
          <w:sz w:val="21"/>
          <w:szCs w:val="21"/>
        </w:rPr>
        <w:t xml:space="preserve">Why is that mental model so fixed?  </w:t>
      </w:r>
      <w:r>
        <w:rPr>
          <w:sz w:val="21"/>
          <w:szCs w:val="21"/>
        </w:rPr>
        <w:t xml:space="preserve">→ Every session reinforces it. The habit loop — open, refill known basket, checkout, done — runs dozens of times a month and never once requires or rewards discovery.</w:t>
      </w:r>
    </w:p>
    <w:p>
      <w:pPr>
        <w:spacing w:after="70" w:line="272"/>
      </w:pPr>
      <w:r>
        <w:rPr>
          <w:b/>
          <w:bCs/>
          <w:color w:val="3e33a6"/>
          <w:sz w:val="21"/>
          <w:szCs w:val="21"/>
        </w:rPr>
        <w:t xml:space="preserve">Why 4. </w:t>
      </w:r>
      <w:r>
        <w:rPr>
          <w:b/>
          <w:bCs/>
          <w:sz w:val="21"/>
          <w:szCs w:val="21"/>
        </w:rPr>
        <w:t xml:space="preserve">Why does the loop never reward discovery?  </w:t>
      </w:r>
      <w:r>
        <w:rPr>
          <w:sz w:val="21"/>
          <w:szCs w:val="21"/>
        </w:rPr>
        <w:t xml:space="preserve">→ The product is optimised for speed of the repeat purchase. Discovery costs time and cognitive load, which directly opposes the sub-10-minute behaviour the app has trained.</w:t>
      </w:r>
    </w:p>
    <w:p>
      <w:pPr>
        <w:spacing w:after="70" w:line="272"/>
      </w:pPr>
      <w:r>
        <w:rPr>
          <w:b/>
          <w:bCs/>
          <w:color w:val="3e33a6"/>
          <w:sz w:val="21"/>
          <w:szCs w:val="21"/>
        </w:rPr>
        <w:t xml:space="preserve">Why 5. </w:t>
      </w:r>
      <w:r>
        <w:rPr>
          <w:b/>
          <w:bCs/>
          <w:sz w:val="21"/>
          <w:szCs w:val="21"/>
        </w:rPr>
        <w:t xml:space="preserve">Why doesn't the user push past that friction when a real non-grocery need exists?  </w:t>
      </w:r>
      <w:r>
        <w:rPr>
          <w:sz w:val="21"/>
          <w:szCs w:val="21"/>
        </w:rPr>
        <w:t xml:space="preserve">→ Because at the decision moment there is no trust bridge. First purchases in judgement-heavy categories carry real risk, and the app supplies none of the signals the survey shows reduce it — ratings, reviews from similar shoppers, or a low-commitment trial size.</w:t>
      </w:r>
    </w:p>
    <w:tbl>
      <w:tblPr>
        <w:tblW w:type="pct" w:w="100%"/>
        <w:tblBorders>
          <w:top w:val="single" w:color="F8CB46" w:sz="2"/>
          <w:left w:val="single" w:color="F8CB46" w:sz="18"/>
          <w:bottom w:val="single" w:color="F8CB46" w:sz="2"/>
          <w:right w:val="single" w:color="F8CB46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B27B00"/>
                <w:sz w:val="21"/>
                <w:szCs w:val="21"/>
              </w:rPr>
              <w:t xml:space="preserve">Root cause (one sentence)</w:t>
            </w:r>
          </w:p>
          <w:p>
            <w:r>
              <w:rPr>
                <w:color w:val="554422"/>
                <w:sz w:val="21"/>
                <w:szCs w:val="21"/>
              </w:rPr>
              <w:t xml:space="preserve">Blinkit's core strength — transactional speed built on habit — structurally suppresses category discovery, and the app provides no trust mechanism at the point of decision to make a low-risk first purchase in an unfamiliar category. The very thing that makes Blinkit great at groceries is what makes it invisible everywhere else.</w:t>
            </w:r>
          </w:p>
        </w:tc>
      </w:tr>
    </w:tbl>
    <w:p>
      <w:pPr>
        <w:spacing w:after="100" w:line="276"/>
      </w:pPr>
      <w:r>
        <w:rPr>
          <w:b/>
          <w:bCs/>
          <w:sz w:val="21"/>
          <w:szCs w:val="21"/>
        </w:rPr>
        <w:t xml:space="preserve">This is the insight the reframe turns on: </w:t>
      </w:r>
      <w:r>
        <w:rPr>
          <w:sz w:val="21"/>
          <w:szCs w:val="21"/>
        </w:rPr>
        <w:t xml:space="preserve">the root cause is not a missing feature or bad UI — it is a tension inside the product's own success. You cannot solve it by adding discovery friction to the habit loop (that breaks the thing users love); discovery must ride on top of the loop and carry its own trust.</w:t>
      </w:r>
    </w:p>
    <w:p>
      <w:pPr>
        <w:pStyle w:val="Heading2"/>
        <w:spacing w:after="90" w:before="220"/>
      </w:pPr>
      <w:r>
        <w:rPr>
          <w:b/>
          <w:bCs/>
          <w:color w:val="3e33a6"/>
          <w:sz w:val="24"/>
          <w:szCs w:val="24"/>
        </w:rPr>
        <w:t xml:space="preserve">Fishbone — contributing causes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1e293b"/>
          <w:sz w:val="21"/>
          <w:szCs w:val="21"/>
        </w:rPr>
        <w:t xml:space="preserve">Behaviour: </w:t>
      </w:r>
      <w:r>
        <w:rPr>
          <w:sz w:val="21"/>
          <w:szCs w:val="21"/>
        </w:rPr>
        <w:t xml:space="preserve">entrenched sub-10-min mission habit; 58% fixed basket.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1e293b"/>
          <w:sz w:val="21"/>
          <w:szCs w:val="21"/>
        </w:rPr>
        <w:t xml:space="preserve">Mental model: </w:t>
      </w:r>
      <w:r>
        <w:rPr>
          <w:sz w:val="21"/>
          <w:szCs w:val="21"/>
        </w:rPr>
        <w:t xml:space="preserve">Blinkit filed as “grocery/emergency,” not “store.”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1e293b"/>
          <w:sz w:val="21"/>
          <w:szCs w:val="21"/>
        </w:rPr>
        <w:t xml:space="preserve">Product / UX: </w:t>
      </w:r>
      <w:r>
        <w:rPr>
          <w:sz w:val="21"/>
          <w:szCs w:val="21"/>
        </w:rPr>
        <w:t xml:space="preserve">reorder and “buy again” surfaces optimise repetition; discovery is buried and costs time.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1e293b"/>
          <w:sz w:val="21"/>
          <w:szCs w:val="21"/>
        </w:rPr>
        <w:t xml:space="preserve">Trust / information: </w:t>
      </w:r>
      <w:r>
        <w:rPr>
          <w:sz w:val="21"/>
          <w:szCs w:val="21"/>
        </w:rPr>
        <w:t xml:space="preserve">no ratings, peer reviews, or trial sizes at the decision point for non-grocery SKUs.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1e293b"/>
          <w:sz w:val="21"/>
          <w:szCs w:val="21"/>
        </w:rPr>
        <w:t xml:space="preserve">Competitive habit: </w:t>
      </w:r>
      <w:r>
        <w:rPr>
          <w:sz w:val="21"/>
          <w:szCs w:val="21"/>
        </w:rPr>
        <w:t xml:space="preserve">Amazon / Nykaa / chemist already own the “considered purchase” reflex.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1e293b"/>
          <w:sz w:val="21"/>
          <w:szCs w:val="21"/>
        </w:rPr>
        <w:t xml:space="preserve">Session economics: </w:t>
      </w:r>
      <w:r>
        <w:rPr>
          <w:sz w:val="21"/>
          <w:szCs w:val="21"/>
        </w:rPr>
        <w:t xml:space="preserve">speed-optimised sessions leave no room for browse or consideration.</w:t>
      </w:r>
    </w:p>
    <w:p>
      <w:pPr>
        <w:pStyle w:val="Heading1"/>
        <w:spacing w:after="120" w:before="280"/>
      </w:pPr>
      <w:r>
        <w:rPr>
          <w:b/>
          <w:bCs/>
          <w:color w:val="1e293b"/>
          <w:sz w:val="30"/>
          <w:szCs w:val="30"/>
        </w:rPr>
        <w:t xml:space="preserve">4. Existing User Workarounds</w:t>
      </w:r>
    </w:p>
    <w:p>
      <w:pPr>
        <w:spacing w:after="100" w:line="276"/>
      </w:pPr>
      <w:r>
        <w:rPr>
          <w:color w:val="222222"/>
          <w:sz w:val="21"/>
          <w:szCs w:val="21"/>
        </w:rPr>
        <w:t xml:space="preserve">Habituated users have a need for non-grocery items — they simply satisfy it elsewhere. Each workaround is evidence of demand Blinkit is forfeiting: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1e293b"/>
          <w:sz w:val="21"/>
          <w:szCs w:val="21"/>
        </w:rPr>
        <w:t xml:space="preserve">Amazon / Flipkart — </w:t>
      </w:r>
      <w:r>
        <w:rPr>
          <w:sz w:val="21"/>
          <w:szCs w:val="21"/>
        </w:rPr>
        <w:t xml:space="preserve">the default for anything the user wants to research or read reviews on before committing. The biggest leak — where the “considered purchase” reflex lives.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1e293b"/>
          <w:sz w:val="21"/>
          <w:szCs w:val="21"/>
        </w:rPr>
        <w:t xml:space="preserve">Category specialists — </w:t>
      </w:r>
      <w:r>
        <w:rPr>
          <w:sz w:val="21"/>
          <w:szCs w:val="21"/>
        </w:rPr>
        <w:t xml:space="preserve">Nykaa (beauty), Supertails (pet), FirstCry (baby) — trusted precisely because they supply the category-specific information Blinkit doesn't.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1e293b"/>
          <w:sz w:val="21"/>
          <w:szCs w:val="21"/>
        </w:rPr>
        <w:t xml:space="preserve">Offline — </w:t>
      </w:r>
      <w:r>
        <w:rPr>
          <w:sz w:val="21"/>
          <w:szCs w:val="21"/>
        </w:rPr>
        <w:t xml:space="preserve">local chemist or store for judgement-heavy or urgent-but-uncertain items.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1e293b"/>
          <w:sz w:val="21"/>
          <w:szCs w:val="21"/>
        </w:rPr>
        <w:t xml:space="preserve">Social proof outside the app — </w:t>
      </w:r>
      <w:r>
        <w:rPr>
          <w:sz w:val="21"/>
          <w:szCs w:val="21"/>
        </w:rPr>
        <w:t xml:space="preserve">asking friends or WhatsApp groups before a first purchase, substituting for the peer reviews the app lacks.</w:t>
      </w:r>
    </w:p>
    <w:p>
      <w:pPr>
        <w:spacing w:after="100" w:line="276"/>
      </w:pPr>
      <w:r>
        <w:rPr>
          <w:b/>
          <w:bCs/>
          <w:sz w:val="21"/>
          <w:szCs w:val="21"/>
        </w:rPr>
        <w:t xml:space="preserve">Strategic read: </w:t>
      </w:r>
      <w:r>
        <w:rPr>
          <w:sz w:val="21"/>
          <w:szCs w:val="21"/>
        </w:rPr>
        <w:t xml:space="preserve">users have already solved their trust problem — just not on Blinkit. Every workaround is a job Blinkit is losing to a competitor who supplies confidence at the decision point. (Rank these by frequency from your interviews.)</w:t>
      </w:r>
    </w:p>
    <w:p>
      <w:pPr>
        <w:pStyle w:val="Heading1"/>
        <w:spacing w:after="120" w:before="280"/>
      </w:pPr>
      <w:r>
        <w:rPr>
          <w:b/>
          <w:bCs/>
          <w:color w:val="1e293b"/>
          <w:sz w:val="30"/>
          <w:szCs w:val="30"/>
        </w:rPr>
        <w:t xml:space="preserve">5. Why Solving This Creates User Value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1e293b"/>
          <w:sz w:val="21"/>
          <w:szCs w:val="21"/>
        </w:rPr>
        <w:t xml:space="preserve">Collapses a multi-app chore into one: </w:t>
      </w:r>
      <w:r>
        <w:rPr>
          <w:sz w:val="21"/>
          <w:szCs w:val="21"/>
        </w:rPr>
        <w:t xml:space="preserve">users currently context-switch across three or four apps for needs Blinkit could serve at grocery speed.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1e293b"/>
          <w:sz w:val="21"/>
          <w:szCs w:val="21"/>
        </w:rPr>
        <w:t xml:space="preserve">Removes research overhead: </w:t>
      </w:r>
      <w:r>
        <w:rPr>
          <w:sz w:val="21"/>
          <w:szCs w:val="21"/>
        </w:rPr>
        <w:t xml:space="preserve">bringing ratings, peer reviews, and trial sizes to the decision point means users no longer leave to build confidence — the survey names these as the top confidence-builders.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1e293b"/>
          <w:sz w:val="21"/>
          <w:szCs w:val="21"/>
        </w:rPr>
        <w:t xml:space="preserve">Extends trusted speed to new needs: </w:t>
      </w:r>
      <w:r>
        <w:rPr>
          <w:sz w:val="21"/>
          <w:szCs w:val="21"/>
        </w:rPr>
        <w:t xml:space="preserve">users already trust Blinkit's reliability for groceries; the value is letting that trust transfer to non-grocery needs at the same speed.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1e293b"/>
          <w:sz w:val="21"/>
          <w:szCs w:val="21"/>
        </w:rPr>
        <w:t xml:space="preserve">De-risks the first try: </w:t>
      </w:r>
      <w:r>
        <w:rPr>
          <w:sz w:val="21"/>
          <w:szCs w:val="21"/>
        </w:rPr>
        <w:t xml:space="preserve">trial sizes and social proof lower the cost of being wrong — the specific fear that currently sends users to Amazon.</w:t>
      </w:r>
    </w:p>
    <w:p>
      <w:pPr>
        <w:pStyle w:val="Heading1"/>
        <w:spacing w:after="120" w:before="280"/>
      </w:pPr>
      <w:r>
        <w:rPr>
          <w:b/>
          <w:bCs/>
          <w:color w:val="1e293b"/>
          <w:sz w:val="30"/>
          <w:szCs w:val="30"/>
        </w:rPr>
        <w:t xml:space="preserve">6. Why Solving This Makes Business Sense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1e293b"/>
          <w:sz w:val="21"/>
          <w:szCs w:val="21"/>
        </w:rPr>
        <w:t xml:space="preserve">LTV expansion on the best cohort: </w:t>
      </w:r>
      <w:r>
        <w:rPr>
          <w:sz w:val="21"/>
          <w:szCs w:val="21"/>
        </w:rPr>
        <w:t xml:space="preserve">cross-category buyers carry higher AOV, retention, and lifetime value than single-category buyers. Moving the highest-frequency users compounds hardest.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1e293b"/>
          <w:sz w:val="21"/>
          <w:szCs w:val="21"/>
        </w:rPr>
        <w:t xml:space="preserve">Directly serves the stated strategic goal: </w:t>
      </w:r>
      <w:r>
        <w:rPr>
          <w:sz w:val="21"/>
          <w:szCs w:val="21"/>
        </w:rPr>
        <w:t xml:space="preserve">the company goal is raising the % of MAC who buy a new category monthly; this attacks the exact barrier blocking it.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1e293b"/>
          <w:sz w:val="21"/>
          <w:szCs w:val="21"/>
        </w:rPr>
        <w:t xml:space="preserve">Margin mix improvement: </w:t>
      </w:r>
      <w:r>
        <w:rPr>
          <w:sz w:val="21"/>
          <w:szCs w:val="21"/>
        </w:rPr>
        <w:t xml:space="preserve">the forfeited categories (beauty, personal care, pet) are structurally higher-margin than staple groceries. Winning them shifts the basket toward profitability, not just volume.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1e293b"/>
          <w:sz w:val="21"/>
          <w:szCs w:val="21"/>
        </w:rPr>
        <w:t xml:space="preserve">Defensive moat: </w:t>
      </w:r>
      <w:r>
        <w:rPr>
          <w:sz w:val="21"/>
          <w:szCs w:val="21"/>
        </w:rPr>
        <w:t xml:space="preserve">every purchase reclaimed from Nykaa / Supertails / Amazon is demand captured inside Blinkit's ecosystem, reducing reliance on category specialists.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1e293b"/>
          <w:sz w:val="21"/>
          <w:szCs w:val="21"/>
        </w:rPr>
        <w:t xml:space="preserve">Low incremental cost: </w:t>
      </w:r>
      <w:r>
        <w:rPr>
          <w:sz w:val="21"/>
          <w:szCs w:val="21"/>
        </w:rPr>
        <w:t xml:space="preserve">because the intervention rides the existing habit loop rather than acquiring new sessions, it monetises traffic Blinkit already has — favourable versus paid acquisition.</w:t>
      </w: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1e293b"/>
          <w:sz w:val="30"/>
          <w:szCs w:val="30"/>
        </w:rPr>
        <w:t xml:space="preserve">7. AI Insights Validated / Challenged by Primary Research</w:t>
      </w:r>
    </w:p>
    <w:p>
      <w:pPr>
        <w:spacing w:after="100" w:line="276"/>
      </w:pPr>
      <w:r>
        <w:rPr>
          <w:b/>
          <w:bCs/>
          <w:sz w:val="21"/>
          <w:szCs w:val="21"/>
        </w:rPr>
        <w:t xml:space="preserve">This is the section the brief weights most heavily. </w:t>
      </w:r>
      <w:r>
        <w:rPr>
          <w:sz w:val="21"/>
          <w:szCs w:val="21"/>
        </w:rPr>
        <w:t xml:space="preserve">Complete the interview column from your Validation Matrix after the 5–6 sessions.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400"/>
        <w:gridCol w:w="2400"/>
        <w:gridCol w:w="1620"/>
        <w:gridCol w:w="1420"/>
      </w:tblGrid>
      <w:tr>
        <w:trPr>
          <w:tblHeader/>
        </w:trPr>
        <w:tc>
          <w:tcPr>
            <w:tcW w:type="dxa" w:w="520"/>
            <w:shd w:fill="1e293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400"/>
            <w:shd w:fill="1e293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LENS + Survey Insight</w:t>
            </w:r>
          </w:p>
        </w:tc>
        <w:tc>
          <w:tcPr>
            <w:tcW w:type="dxa" w:w="2400"/>
            <w:shd w:fill="1e293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Quantitative signal</w:t>
            </w:r>
          </w:p>
        </w:tc>
        <w:tc>
          <w:tcPr>
            <w:tcW w:type="dxa" w:w="1620"/>
            <w:shd w:fill="1e293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Interview finding (fill)</w:t>
            </w:r>
          </w:p>
        </w:tc>
        <w:tc>
          <w:tcPr>
            <w:tcW w:type="dxa" w:w="1420"/>
            <w:shd w:fill="1e293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Verdict (fill)</w:t>
            </w:r>
          </w:p>
        </w:tc>
      </w:tr>
      <w:tr>
        <w:tc>
          <w:tcPr>
            <w:tcW w:type="dxa" w:w="5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Users repeat a fixed basket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58% (29/50)</w:t>
            </w:r>
          </w:p>
        </w:tc>
        <w:tc>
          <w:tcPr>
            <w:tcW w:type="dxa" w:w="16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[X/6 …]</w:t>
            </w:r>
          </w:p>
        </w:tc>
        <w:tc>
          <w:tcPr>
            <w:tcW w:type="dxa" w:w="14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Confirmed / Challenged</w:t>
            </w:r>
          </w:p>
        </w:tc>
      </w:tr>
      <w:tr>
        <w:tc>
          <w:tcPr>
            <w:tcW w:type="dxa" w:w="520"/>
            <w:shd w:fill="EEF2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3400"/>
            <w:shd w:fill="EEF2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Sessions are urgent “mission mode”</w:t>
            </w:r>
          </w:p>
        </w:tc>
        <w:tc>
          <w:tcPr>
            <w:tcW w:type="dxa" w:w="2400"/>
            <w:shd w:fill="EEF2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48% urgent · 98% &lt;10 min</w:t>
            </w:r>
          </w:p>
        </w:tc>
        <w:tc>
          <w:tcPr>
            <w:tcW w:type="dxa" w:w="1620"/>
            <w:shd w:fill="EEF2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 … ]</w:t>
            </w:r>
          </w:p>
        </w:tc>
        <w:tc>
          <w:tcPr>
            <w:tcW w:type="dxa" w:w="1420"/>
            <w:shd w:fill="EEF2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 … ]</w:t>
            </w:r>
          </w:p>
        </w:tc>
      </w:tr>
      <w:tr>
        <w:tc>
          <w:tcPr>
            <w:tcW w:type="dxa" w:w="5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Blinkit = “grocery/emergency” mental model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grocery-dominated baskets</w:t>
            </w:r>
          </w:p>
        </w:tc>
        <w:tc>
          <w:tcPr>
            <w:tcW w:type="dxa" w:w="16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 … ]</w:t>
            </w:r>
          </w:p>
        </w:tc>
        <w:tc>
          <w:tcPr>
            <w:tcW w:type="dxa" w:w="14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 … ]</w:t>
            </w:r>
          </w:p>
        </w:tc>
      </w:tr>
      <w:tr>
        <w:tc>
          <w:tcPr>
            <w:tcW w:type="dxa" w:w="520"/>
            <w:shd w:fill="EEF2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3400"/>
            <w:shd w:fill="EEF2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Users rarely self-explore</w:t>
            </w:r>
          </w:p>
        </w:tc>
        <w:tc>
          <w:tcPr>
            <w:tcW w:type="dxa" w:w="2400"/>
            <w:shd w:fill="EEF2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4/50 explored</w:t>
            </w:r>
          </w:p>
        </w:tc>
        <w:tc>
          <w:tcPr>
            <w:tcW w:type="dxa" w:w="1620"/>
            <w:shd w:fill="EEF2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 … ]</w:t>
            </w:r>
          </w:p>
        </w:tc>
        <w:tc>
          <w:tcPr>
            <w:tcW w:type="dxa" w:w="1420"/>
            <w:shd w:fill="EEF2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 … ]</w:t>
            </w:r>
          </w:p>
        </w:tc>
      </w:tr>
      <w:tr>
        <w:tc>
          <w:tcPr>
            <w:tcW w:type="dxa" w:w="5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Trust/quality fear blocks new categories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LENS reviews (pet/beauty defects)</w:t>
            </w:r>
          </w:p>
        </w:tc>
        <w:tc>
          <w:tcPr>
            <w:tcW w:type="dxa" w:w="16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 … ]</w:t>
            </w:r>
          </w:p>
        </w:tc>
        <w:tc>
          <w:tcPr>
            <w:tcW w:type="dxa" w:w="14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 … ]</w:t>
            </w:r>
          </w:p>
        </w:tc>
      </w:tr>
      <w:tr>
        <w:tc>
          <w:tcPr>
            <w:tcW w:type="dxa" w:w="520"/>
            <w:shd w:fill="EEF2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3400"/>
            <w:shd w:fill="EEF2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Ratings + peer reviews + trial size build confidence</w:t>
            </w:r>
          </w:p>
        </w:tc>
        <w:tc>
          <w:tcPr>
            <w:tcW w:type="dxa" w:w="2400"/>
            <w:shd w:fill="EEF2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top survey answers</w:t>
            </w:r>
          </w:p>
        </w:tc>
        <w:tc>
          <w:tcPr>
            <w:tcW w:type="dxa" w:w="1620"/>
            <w:shd w:fill="EEF2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 … ]</w:t>
            </w:r>
          </w:p>
        </w:tc>
        <w:tc>
          <w:tcPr>
            <w:tcW w:type="dxa" w:w="1420"/>
            <w:shd w:fill="EEF2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 … ]</w:t>
            </w:r>
          </w:p>
        </w:tc>
      </w:tr>
      <w:tr>
        <w:tc>
          <w:tcPr>
            <w:tcW w:type="dxa" w:w="5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 minority is genuinely closed to new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16% (8/50)</w:t>
            </w:r>
          </w:p>
        </w:tc>
        <w:tc>
          <w:tcPr>
            <w:tcW w:type="dxa" w:w="16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 … ]</w:t>
            </w:r>
          </w:p>
        </w:tc>
        <w:tc>
          <w:tcPr>
            <w:tcW w:type="dxa" w:w="14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 … ]</w:t>
            </w:r>
          </w:p>
        </w:tc>
      </w:tr>
    </w:tbl>
    <w:p>
      <w:pPr>
        <w:spacing w:after="100" w:before="120" w:line="276"/>
      </w:pPr>
      <w:r>
        <w:rPr>
          <w:b/>
          <w:bCs/>
          <w:color w:val="3e33a6"/>
          <w:sz w:val="21"/>
          <w:szCs w:val="21"/>
        </w:rPr>
        <w:t xml:space="preserve">Then write the paragraph that scores highest: </w:t>
      </w:r>
      <w:r>
        <w:rPr>
          <w:sz w:val="21"/>
          <w:szCs w:val="21"/>
        </w:rPr>
        <w:t xml:space="preserve">identify at least one insight your interviews challenged or killed. For example, if interviews reveal users DO know Blinkit sells non-grocery items but still don't buy — that partly challenges Insight 3, shifting weight from “awareness” toward “trust.” A senior PM treats a contradicted hypothesis as the most valuable finding in the study: it proves the research shaped the conclusion rather than decorating it. If everything confirmed cleanly, dig harder; real research always has friction.</w:t>
      </w:r>
    </w:p>
    <w:p>
      <w:pPr>
        <w:pStyle w:val="Heading1"/>
        <w:spacing w:after="120" w:before="280"/>
      </w:pPr>
      <w:r>
        <w:rPr>
          <w:b/>
          <w:bCs/>
          <w:color w:val="1e293b"/>
          <w:sz w:val="30"/>
          <w:szCs w:val="30"/>
        </w:rPr>
        <w:t xml:space="preserve">8. Success Metrics</w:t>
      </w:r>
    </w:p>
    <w:p>
      <w:pPr>
        <w:spacing w:after="60"/>
      </w:pPr>
      <w:r>
        <w:rPr>
          <w:b/>
          <w:bCs/>
          <w:color w:val="1e293b"/>
          <w:sz w:val="21"/>
          <w:szCs w:val="21"/>
        </w:rPr>
        <w:t xml:space="preserve">North Star: </w:t>
      </w:r>
      <w:r>
        <w:rPr>
          <w:sz w:val="21"/>
          <w:szCs w:val="21"/>
        </w:rPr>
        <w:t xml:space="preserve">Category Adoption Rate — % of Monthly Active Customers purchasing from ≥1 new category per month.</w:t>
      </w:r>
    </w:p>
    <w:p>
      <w:pPr>
        <w:spacing w:after="60"/>
      </w:pPr>
      <w:r>
        <w:rPr>
          <w:b/>
          <w:bCs/>
          <w:color w:val="1e293b"/>
          <w:sz w:val="21"/>
          <w:szCs w:val="21"/>
        </w:rPr>
        <w:t xml:space="preserve">Input metrics: </w:t>
      </w:r>
      <w:r>
        <w:rPr>
          <w:sz w:val="21"/>
          <w:szCs w:val="21"/>
        </w:rPr>
        <w:t xml:space="preserve">new-category consideration rate (PDP views outside a user's historical categories); first-purchase conversion in new categories; trial-size / starter-pack CTR.</w:t>
      </w:r>
    </w:p>
    <w:p>
      <w:pPr>
        <w:spacing w:after="60"/>
      </w:pPr>
      <w:r>
        <w:rPr>
          <w:b/>
          <w:bCs/>
          <w:color w:val="1e293b"/>
          <w:sz w:val="21"/>
          <w:szCs w:val="21"/>
        </w:rPr>
        <w:t xml:space="preserve">Guardrail metrics: </w:t>
      </w:r>
      <w:r>
        <w:rPr>
          <w:sz w:val="21"/>
          <w:szCs w:val="21"/>
        </w:rPr>
        <w:t xml:space="preserve">checkout time (the habit must not slow — the non-negotiable guardrail); order frequency; 30-day retention; return/refund rate in new categories (a trust proxy); contribution margin per order.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2026-07-28T19:46:27.236Z</dcterms:created>
  <dcterms:modified xsi:type="dcterms:W3CDTF">2026-07-28T19:46:27.257Z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