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C6E"/>
        </w:rPr>
        <w:t>APD External Data Sources Reference</w:t>
      </w:r>
    </w:p>
    <w:p>
      <w:r>
        <w:t>Complete reference of all external data sources used in the Asset Performance Dashboard.</w:t>
        <w:br/>
        <w:t>For developers building the production application.</w:t>
      </w:r>
    </w:p>
    <w:p>
      <w:r>
        <w:rPr>
          <w:b/>
          <w:sz w:val="18"/>
        </w:rPr>
        <w:t xml:space="preserve">Asset: </w:t>
      </w:r>
      <w:r>
        <w:rPr>
          <w:sz w:val="18"/>
        </w:rPr>
        <w:t>Northwold Solar Farm BESS (4.2 MW / 8.4 MWh)</w:t>
      </w:r>
    </w:p>
    <w:p>
      <w:r>
        <w:rPr>
          <w:b/>
          <w:sz w:val="18"/>
        </w:rPr>
        <w:t xml:space="preserve">Prepared by: </w:t>
      </w:r>
      <w:r>
        <w:rPr>
          <w:sz w:val="18"/>
        </w:rPr>
        <w:t>Ankit Agarwal — GM Product &amp; Technology, Ampyr Energy Tech Solutions</w:t>
      </w:r>
    </w:p>
    <w:p>
      <w:r>
        <w:rPr>
          <w:b/>
          <w:sz w:val="18"/>
        </w:rPr>
        <w:t xml:space="preserve">Date: </w:t>
      </w:r>
      <w:r>
        <w:rPr>
          <w:sz w:val="18"/>
        </w:rPr>
        <w:t>30 March 2026</w:t>
      </w:r>
    </w:p>
    <w:p>
      <w:r>
        <w:rPr>
          <w:b/>
          <w:sz w:val="18"/>
        </w:rPr>
        <w:t xml:space="preserve">Classification: </w:t>
      </w:r>
      <w:r>
        <w:rPr>
          <w:sz w:val="18"/>
        </w:rPr>
        <w:t>Internal / Developer Reference</w:t>
      </w:r>
    </w:p>
    <w:p>
      <w:r>
        <w:br w:type="page"/>
      </w:r>
    </w:p>
    <w:p>
      <w:pPr>
        <w:pStyle w:val="Heading1"/>
      </w:pPr>
      <w:r>
        <w:rPr>
          <w:color w:val="1A3C6E"/>
        </w:rPr>
        <w:t>1. Modo Energy — GB BESS Revenue Benchmarks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Modo Energy GB BESS Index (monthly research reports)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Free research articles on modoenergy.com (login required for full data platform)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Monthly (published ~2nd week of following month)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Manual — read monthly benchmark article, extract headline GBP/MW/year figure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55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134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340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25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How to Extract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MODO_BENCHMARKS[month]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streamlit_dashboard.py:3241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Dict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GBP/MW/year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Annualised monthly revenue benchmark across all GB BESS assets</w:t>
            </w:r>
          </w:p>
        </w:tc>
        <w:tc>
          <w:tcPr>
            <w:tcW w:type="dxa" w:w="4252"/>
          </w:tcPr>
          <w:p>
            <w:r/>
            <w:r>
              <w:rPr>
                <w:sz w:val="16"/>
              </w:rPr>
              <w:t>Read headline figure from each monthly Modo benchmark article. Formula: (total revenue for all tracked GB batteries / total MW) x (365 / days in month)</w:t>
            </w:r>
          </w:p>
        </w:tc>
      </w:tr>
    </w:tbl>
    <w:p/>
    <w:p>
      <w:pPr>
        <w:pStyle w:val="Heading2"/>
      </w:pPr>
      <w:r>
        <w:rPr>
          <w:color w:val="1A3C6E"/>
        </w:rPr>
        <w:t>Current Hardcoded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Value (GBP/MW/yr)</w:t>
            </w:r>
          </w:p>
        </w:tc>
        <w:tc>
          <w:tcPr>
            <w:tcW w:type="dxa" w:w="11339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Sep 25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70,000</w:t>
            </w:r>
          </w:p>
        </w:tc>
        <w:tc>
          <w:tcPr>
            <w:tcW w:type="dxa" w:w="11339"/>
          </w:tcPr>
          <w:p>
            <w:r/>
            <w:r>
              <w:rPr>
                <w:sz w:val="16"/>
              </w:rPr>
              <w:t>Modo Energy monthly benchmark (Sep 2025 report)</w:t>
            </w:r>
          </w:p>
        </w:tc>
      </w:tr>
      <w:tr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Oct 25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77,000</w:t>
            </w:r>
          </w:p>
        </w:tc>
        <w:tc>
          <w:tcPr>
            <w:tcW w:type="dxa" w:w="11339"/>
            <w:shd w:fill="F2F6FA" w:val="clear"/>
          </w:tcPr>
          <w:p>
            <w:r/>
            <w:r>
              <w:rPr>
                <w:sz w:val="16"/>
              </w:rPr>
              <w:t>Modo Energy monthly benchmark (Oct 2025 report)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Nov 25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59,000</w:t>
            </w:r>
          </w:p>
        </w:tc>
        <w:tc>
          <w:tcPr>
            <w:tcW w:type="dxa" w:w="11339"/>
          </w:tcPr>
          <w:p>
            <w:r/>
            <w:r>
              <w:rPr>
                <w:sz w:val="16"/>
              </w:rPr>
              <w:t>Modo Energy monthly benchmark (Nov 2025 report)</w:t>
            </w:r>
          </w:p>
        </w:tc>
      </w:tr>
      <w:tr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Dec 25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47,000</w:t>
            </w:r>
          </w:p>
        </w:tc>
        <w:tc>
          <w:tcPr>
            <w:tcW w:type="dxa" w:w="11339"/>
            <w:shd w:fill="F2F6FA" w:val="clear"/>
          </w:tcPr>
          <w:p>
            <w:r/>
            <w:r>
              <w:rPr>
                <w:sz w:val="16"/>
              </w:rPr>
              <w:t>Modo Energy monthly benchmark (Dec 2025 report)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Jan 26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88,000</w:t>
            </w:r>
          </w:p>
        </w:tc>
        <w:tc>
          <w:tcPr>
            <w:tcW w:type="dxa" w:w="11339"/>
          </w:tcPr>
          <w:p>
            <w:r/>
            <w:r>
              <w:rPr>
                <w:sz w:val="16"/>
              </w:rPr>
              <w:t>Modo Energy monthly benchmark (Jan 2026 report)</w:t>
            </w:r>
          </w:p>
        </w:tc>
      </w:tr>
    </w:tbl>
    <w:p/>
    <w:p>
      <w:pPr>
        <w:pStyle w:val="Heading2"/>
      </w:pPr>
      <w:r>
        <w:rPr>
          <w:color w:val="1A3C6E"/>
        </w:rPr>
        <w:t>Industry Range (used in benchmark chart)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8504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Industry Low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36,000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GBP/MW/year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Lowest monthly benchmark observed (2024-2025)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Industry High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88,000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GBP/MW/year</w:t>
            </w:r>
          </w:p>
        </w:tc>
        <w:tc>
          <w:tcPr>
            <w:tcW w:type="dxa" w:w="8504"/>
            <w:shd w:fill="F2F6FA" w:val="clear"/>
          </w:tcPr>
          <w:p>
            <w:r/>
            <w:r>
              <w:rPr>
                <w:sz w:val="16"/>
              </w:rPr>
              <w:t>Highest monthly benchmark observed (2024-2025)</w:t>
            </w:r>
          </w:p>
        </w:tc>
      </w:tr>
    </w:tbl>
    <w:p/>
    <w:p>
      <w:pPr>
        <w:pStyle w:val="Heading2"/>
      </w:pPr>
      <w:r>
        <w:rPr>
          <w:color w:val="1A3C6E"/>
        </w:rPr>
        <w:t>Source Links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Report</w:t>
            </w:r>
          </w:p>
        </w:tc>
        <w:tc>
          <w:tcPr>
            <w:tcW w:type="dxa" w:w="793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URL</w:t>
            </w:r>
          </w:p>
        </w:tc>
        <w:tc>
          <w:tcPr>
            <w:tcW w:type="dxa" w:w="45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Key Data Point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2024 Year in Review</w:t>
            </w:r>
          </w:p>
        </w:tc>
        <w:tc>
          <w:tcPr>
            <w:tcW w:type="dxa" w:w="7937"/>
          </w:tcPr>
          <w:p>
            <w:r/>
            <w:r>
              <w:rPr>
                <w:sz w:val="16"/>
              </w:rPr>
              <w:t>modoenergy.com/research/gb-battery-energy-storage-markets-2024-year-in-review-...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Annual revenue stack trends, market evolution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December 2024 Benchmark</w:t>
            </w:r>
          </w:p>
        </w:tc>
        <w:tc>
          <w:tcPr>
            <w:tcW w:type="dxa" w:w="7937"/>
            <w:shd w:fill="F2F6FA" w:val="clear"/>
          </w:tcPr>
          <w:p>
            <w:r/>
            <w:r>
              <w:rPr>
                <w:sz w:val="16"/>
              </w:rPr>
              <w:t>modoenergy.com/research/battery-energy-storage-revenues-december-benchmark-gb-2024-...</w:t>
            </w:r>
          </w:p>
        </w:tc>
        <w:tc>
          <w:tcPr>
            <w:tcW w:type="dxa" w:w="4535"/>
            <w:shd w:fill="F2F6FA" w:val="clear"/>
          </w:tcPr>
          <w:p>
            <w:r/>
            <w:r>
              <w:rPr>
                <w:sz w:val="16"/>
              </w:rPr>
              <w:t>GBP 84k/MW/year — highest since Jan 2023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January 2025 Roundup</w:t>
            </w:r>
          </w:p>
        </w:tc>
        <w:tc>
          <w:tcPr>
            <w:tcW w:type="dxa" w:w="7937"/>
          </w:tcPr>
          <w:p>
            <w:r/>
            <w:r>
              <w:rPr>
                <w:sz w:val="16"/>
              </w:rPr>
              <w:t>modoenergy.com/research/gb-research-roundup-january-2025-...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GBP 88k/MW/year benchmark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June 2025 Benchmark</w:t>
            </w:r>
          </w:p>
        </w:tc>
        <w:tc>
          <w:tcPr>
            <w:tcW w:type="dxa" w:w="7937"/>
            <w:shd w:fill="F2F6FA" w:val="clear"/>
          </w:tcPr>
          <w:p>
            <w:r/>
            <w:r>
              <w:rPr>
                <w:sz w:val="16"/>
              </w:rPr>
              <w:t>modoenergy.com/research/battery-energy-storage-revenues-gb-benchmark-june-2025-...</w:t>
            </w:r>
          </w:p>
        </w:tc>
        <w:tc>
          <w:tcPr>
            <w:tcW w:type="dxa" w:w="4535"/>
            <w:shd w:fill="F2F6FA" w:val="clear"/>
          </w:tcPr>
          <w:p>
            <w:r/>
            <w:r>
              <w:rPr>
                <w:sz w:val="16"/>
              </w:rPr>
              <w:t>GBP 76k/MW/year; 66 hours negative pricing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TB Spread Benchmark</w:t>
            </w:r>
          </w:p>
        </w:tc>
        <w:tc>
          <w:tcPr>
            <w:tcW w:type="dxa" w:w="7937"/>
          </w:tcPr>
          <w:p>
            <w:r/>
            <w:r>
              <w:rPr>
                <w:sz w:val="16"/>
              </w:rPr>
              <w:t>modoenergy.com/research/top-bottom-spread-revenue-benchmark-...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142% TB2 capture rate for 2-hr batteries</w:t>
            </w:r>
          </w:p>
        </w:tc>
      </w:tr>
    </w:tbl>
    <w:p/>
    <w:p>
      <w:r>
        <w:rPr>
          <w:b/>
          <w:sz w:val="16"/>
        </w:rPr>
        <w:t xml:space="preserve">Note: </w:t>
      </w:r>
      <w:r>
        <w:rPr>
          <w:i/>
          <w:sz w:val="16"/>
        </w:rPr>
        <w:t>Modo Energy pages are JavaScript-rendered (Next.js). For production, either manually extract values monthly or explore Modo's paid API/data platform.</w:t>
      </w:r>
    </w:p>
    <w:p>
      <w:r>
        <w:br w:type="page"/>
      </w:r>
    </w:p>
    <w:p>
      <w:pPr>
        <w:pStyle w:val="Heading1"/>
      </w:pPr>
      <w:r>
        <w:rPr>
          <w:color w:val="1A3C6E"/>
        </w:rPr>
        <w:t>2. Modo Energy — TB Spread Benchmark (142%)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Modo Energy: "Benchmarking European battery revenue with TB spreads"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Free research article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One-off study (referenced as industry standard)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Manual — single benchmark value from the article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55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368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68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How to Extract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TB2 Capture Benchmark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streamlit_dashboard.py:3969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Constant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Industry benchmark: well-operated 2-hr batteries capture ~142% of TB2 spread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From Modo article — analysed revenues from GB BESS assets</w:t>
            </w:r>
          </w:p>
        </w:tc>
      </w:tr>
      <w:tr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TB1</w:t>
            </w:r>
          </w:p>
        </w:tc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streamlit_dashboard.py:344-406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Calculated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GBP/MWh</w:t>
            </w:r>
          </w:p>
        </w:tc>
        <w:tc>
          <w:tcPr>
            <w:tcW w:type="dxa" w:w="3685"/>
            <w:shd w:fill="F2F6FA" w:val="clear"/>
          </w:tcPr>
          <w:p>
            <w:r/>
            <w:r>
              <w:rPr>
                <w:sz w:val="16"/>
              </w:rPr>
              <w:t>Highest hourly price - lowest hourly price per day</w:t>
            </w:r>
          </w:p>
        </w:tc>
        <w:tc>
          <w:tcPr>
            <w:tcW w:type="dxa" w:w="3685"/>
            <w:shd w:fill="F2F6FA" w:val="clear"/>
          </w:tcPr>
          <w:p>
            <w:r/>
            <w:r>
              <w:rPr>
                <w:sz w:val="16"/>
              </w:rPr>
              <w:t>Calculated internally from EPEX DA prices in Master CSV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TB2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streamlit_dashboard.py:344-406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Calculated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GBP/MWh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Sum of 2 highest - sum of 2 lowest hourly prices per day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Calculated internally from EPEX DA prices in Master CSV</w:t>
            </w:r>
          </w:p>
        </w:tc>
      </w:tr>
      <w:tr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TB3</w:t>
            </w:r>
          </w:p>
        </w:tc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streamlit_dashboard.py:344-406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Calculated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GBP/MWh</w:t>
            </w:r>
          </w:p>
        </w:tc>
        <w:tc>
          <w:tcPr>
            <w:tcW w:type="dxa" w:w="3685"/>
            <w:shd w:fill="F2F6FA" w:val="clear"/>
          </w:tcPr>
          <w:p>
            <w:r/>
            <w:r>
              <w:rPr>
                <w:sz w:val="16"/>
              </w:rPr>
              <w:t>Sum of 3 highest - sum of 3 lowest hourly prices per day</w:t>
            </w:r>
          </w:p>
        </w:tc>
        <w:tc>
          <w:tcPr>
            <w:tcW w:type="dxa" w:w="3685"/>
            <w:shd w:fill="F2F6FA" w:val="clear"/>
          </w:tcPr>
          <w:p>
            <w:r/>
            <w:r>
              <w:rPr>
                <w:sz w:val="16"/>
              </w:rPr>
              <w:t>Calculated internally from EPEX DA prices in Master CSV</w:t>
            </w:r>
          </w:p>
        </w:tc>
      </w:tr>
    </w:tbl>
    <w:p/>
    <w:p>
      <w:pPr>
        <w:pStyle w:val="Heading2"/>
      </w:pPr>
      <w:r>
        <w:rPr>
          <w:color w:val="1A3C6E"/>
        </w:rPr>
        <w:t>How TB Capture &gt; 100% Is Possible</w:t>
      </w:r>
    </w:p>
    <w:p>
      <w:pPr>
        <w:pStyle w:val="ListBullet"/>
      </w:pPr>
      <w:r>
        <w:t>Batteries earn more than TB spread alone because of:</w:t>
      </w:r>
    </w:p>
    <w:p>
      <w:pPr>
        <w:pStyle w:val="ListBullet2"/>
      </w:pPr>
      <w:r>
        <w:t>Intraday optimisation — capturing price spikes in real-time markets (IDA1, IDC)</w:t>
      </w:r>
    </w:p>
    <w:p>
      <w:pPr>
        <w:pStyle w:val="ListBullet2"/>
      </w:pPr>
      <w:r>
        <w:t>Multiple cycles per day — cycling more than once when spreads allow</w:t>
      </w:r>
    </w:p>
    <w:p>
      <w:pPr>
        <w:pStyle w:val="ListBullet2"/>
      </w:pPr>
      <w:r>
        <w:t>Ancillary services — stacking SFFR frequency response revenue on top of arbitrage</w:t>
      </w:r>
    </w:p>
    <w:p>
      <w:pPr>
        <w:pStyle w:val="Heading2"/>
      </w:pPr>
      <w:r>
        <w:rPr>
          <w:color w:val="1A3C6E"/>
        </w:rPr>
        <w:t>Dashboard Interpretation Thresholds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TB2 Capture Rate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&gt;= 142%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At or above industry benchmark (excellent)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100-142%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Capturing spread but below benchmark (room for improvement)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60-80%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Significant room for improvement in market participation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&lt; 60%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Major underperformance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3. Capacity Market — EMR Settlement (T062)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Electricity Settlements Company (ESC) — EMR Settlement system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T062 settlement CSV files (emailed to registered parties or via EMR portal)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Monthly (settlement runs ~3 months in arrears for final settlement)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Download T062 CSV -&gt; filter by contract CAN-2025-NSFL01-001 -&gt; sum monthly payment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55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984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134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340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969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How to Extract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CM_ACTUALS[month]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streamlit_dashboard.py:3248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Dict (month -&gt; GBP)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GBP</w:t>
            </w:r>
          </w:p>
        </w:tc>
        <w:tc>
          <w:tcPr>
            <w:tcW w:type="dxa" w:w="3402"/>
          </w:tcPr>
          <w:p>
            <w:r/>
            <w:r>
              <w:rPr>
                <w:sz w:val="16"/>
              </w:rPr>
              <w:t>Monthly Capacity Market payment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From T062 CSV: filter contract CAN-2025-NSFL01-001, sum Payment Amount for month</w:t>
            </w:r>
          </w:p>
        </w:tc>
      </w:tr>
    </w:tbl>
    <w:p/>
    <w:p>
      <w:pPr>
        <w:pStyle w:val="Heading2"/>
      </w:pPr>
      <w:r>
        <w:rPr>
          <w:color w:val="1A3C6E"/>
        </w:rPr>
        <w:t>Contract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Contract ID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CAN-2025-NSFL01-001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Asset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Northwold Solar Farm Ltd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Capacity Obligation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1.023 MW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Auction Price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~GBP 20,000/MW/year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Payment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Monthly with seasonal weighting (winter months higher)</w:t>
            </w:r>
          </w:p>
        </w:tc>
      </w:tr>
    </w:tbl>
    <w:p/>
    <w:p>
      <w:pPr>
        <w:pStyle w:val="Heading2"/>
      </w:pPr>
      <w:r>
        <w:rPr>
          <w:color w:val="1A3C6E"/>
        </w:rPr>
        <w:t>Current Hardcoded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CM Payment (GBP)</w:t>
            </w:r>
          </w:p>
        </w:tc>
        <w:tc>
          <w:tcPr>
            <w:tcW w:type="dxa" w:w="1020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Source File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Oct 25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1,704.17</w:t>
            </w:r>
          </w:p>
        </w:tc>
        <w:tc>
          <w:tcPr>
            <w:tcW w:type="dxa" w:w="10205"/>
          </w:tcPr>
          <w:p>
            <w:r/>
            <w:r>
              <w:rPr>
                <w:sz w:val="16"/>
              </w:rPr>
              <w:t>NORTHWO_*_T062.csv</w:t>
            </w:r>
          </w:p>
        </w:tc>
      </w:tr>
      <w:tr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Nov 25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1,884.42</w:t>
            </w:r>
          </w:p>
        </w:tc>
        <w:tc>
          <w:tcPr>
            <w:tcW w:type="dxa" w:w="10205"/>
            <w:shd w:fill="F2F6FA" w:val="clear"/>
          </w:tcPr>
          <w:p>
            <w:r/>
            <w:r>
              <w:rPr>
                <w:sz w:val="16"/>
              </w:rPr>
              <w:t>NORTHWO_*_T062.csv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6"/>
              </w:rPr>
              <w:t>Dec 25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1,994.84</w:t>
            </w:r>
          </w:p>
        </w:tc>
        <w:tc>
          <w:tcPr>
            <w:tcW w:type="dxa" w:w="10205"/>
          </w:tcPr>
          <w:p>
            <w:r/>
            <w:r>
              <w:rPr>
                <w:sz w:val="16"/>
              </w:rPr>
              <w:t>NORTHWO_*_T062.csv</w:t>
            </w:r>
          </w:p>
        </w:tc>
      </w:tr>
      <w:tr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Jan 26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2,113.87</w:t>
            </w:r>
          </w:p>
        </w:tc>
        <w:tc>
          <w:tcPr>
            <w:tcW w:type="dxa" w:w="10205"/>
            <w:shd w:fill="F2F6FA" w:val="clear"/>
          </w:tcPr>
          <w:p>
            <w:r/>
            <w:r>
              <w:rPr>
                <w:sz w:val="16"/>
              </w:rPr>
              <w:t>NORTHWO_*_T062.csv</w:t>
            </w:r>
          </w:p>
        </w:tc>
      </w:tr>
    </w:tbl>
    <w:p/>
    <w:p>
      <w:r>
        <w:rPr>
          <w:b/>
          <w:sz w:val="16"/>
        </w:rPr>
        <w:t xml:space="preserve">Raw Files: </w:t>
      </w:r>
      <w:r>
        <w:rPr>
          <w:sz w:val="16"/>
        </w:rPr>
        <w:t>Located in raw/New/ directory. Pattern: NORTHWO_*_T062.csv. Key columns: Contract ID, Settlement Period, Payment Amount, Obligation MW.</w:t>
      </w:r>
    </w:p>
    <w:p>
      <w:r>
        <w:br w:type="page"/>
      </w:r>
    </w:p>
    <w:p>
      <w:pPr>
        <w:pStyle w:val="Heading1"/>
      </w:pPr>
      <w:r>
        <w:rPr>
          <w:color w:val="1A3C6E"/>
        </w:rPr>
        <w:t>4. DUoS — Distribution Use of System (Hartree Partners)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Hartree Partners Supply (UK) — generator invoices (passthrough credits from UKPN)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PDF invoices emailed from Hartree Partners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Monthly (invoices arrive ~6-8 weeks after delivery month)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Manual — open Hartree Gen_Inv PDF, extract Red/Amber/Green GDuos credit line items and DNO fixed charges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11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55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134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3969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45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How to Extract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DUOS_ACTUALS[month]['red']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streamlit_dashboard.py:3256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GBP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Red band GDuos export credit (highest value, winter peak)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Hartree invoice: "GDuos Red" line (negative = credit)</w:t>
            </w:r>
          </w:p>
        </w:tc>
      </w:tr>
      <w:tr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DUOS_ACTUALS[month]['amber']</w:t>
            </w:r>
          </w:p>
        </w:tc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streamlit_dashboard.py:3256</w:t>
            </w:r>
          </w:p>
        </w:tc>
        <w:tc>
          <w:tcPr>
            <w:tcW w:type="dxa" w:w="1134"/>
            <w:shd w:fill="F2F6FA" w:val="clear"/>
          </w:tcPr>
          <w:p>
            <w:r/>
            <w:r>
              <w:rPr>
                <w:sz w:val="16"/>
              </w:rPr>
              <w:t>GBP</w:t>
            </w:r>
          </w:p>
        </w:tc>
        <w:tc>
          <w:tcPr>
            <w:tcW w:type="dxa" w:w="3969"/>
            <w:shd w:fill="F2F6FA" w:val="clear"/>
          </w:tcPr>
          <w:p>
            <w:r/>
            <w:r>
              <w:rPr>
                <w:sz w:val="16"/>
              </w:rPr>
              <w:t>Amber band GDuos export credit</w:t>
            </w:r>
          </w:p>
        </w:tc>
        <w:tc>
          <w:tcPr>
            <w:tcW w:type="dxa" w:w="4535"/>
            <w:shd w:fill="F2F6FA" w:val="clear"/>
          </w:tcPr>
          <w:p>
            <w:r/>
            <w:r>
              <w:rPr>
                <w:sz w:val="16"/>
              </w:rPr>
              <w:t>Hartree invoice: "GDuos Amber" line item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DUOS_ACTUALS[month]['green']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streamlit_dashboard.py:3256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GBP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Green band GDuos export credit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Hartree invoice: "GDuos Green" line item</w:t>
            </w:r>
          </w:p>
        </w:tc>
      </w:tr>
      <w:tr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DUOS_ACTUALS[month]['fixed']</w:t>
            </w:r>
          </w:p>
        </w:tc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streamlit_dashboard.py:3256</w:t>
            </w:r>
          </w:p>
        </w:tc>
        <w:tc>
          <w:tcPr>
            <w:tcW w:type="dxa" w:w="1134"/>
            <w:shd w:fill="F2F6FA" w:val="clear"/>
          </w:tcPr>
          <w:p>
            <w:r/>
            <w:r>
              <w:rPr>
                <w:sz w:val="16"/>
              </w:rPr>
              <w:t>GBP</w:t>
            </w:r>
          </w:p>
        </w:tc>
        <w:tc>
          <w:tcPr>
            <w:tcW w:type="dxa" w:w="3969"/>
            <w:shd w:fill="F2F6FA" w:val="clear"/>
          </w:tcPr>
          <w:p>
            <w:r/>
            <w:r>
              <w:rPr>
                <w:sz w:val="16"/>
              </w:rPr>
              <w:t>DNO fixed network charges (cost)</w:t>
            </w:r>
          </w:p>
        </w:tc>
        <w:tc>
          <w:tcPr>
            <w:tcW w:type="dxa" w:w="4535"/>
            <w:shd w:fill="F2F6FA" w:val="clear"/>
          </w:tcPr>
          <w:p>
            <w:r/>
            <w:r>
              <w:rPr>
                <w:sz w:val="16"/>
              </w:rPr>
              <w:t>Hartree invoice: "Fixed Charges" / "DNO Standing Charge"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DUOS_ACTUALS[month]['net_credit']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streamlit_dashboard.py:3256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GBP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Net DUoS = |Red| + |Amber| + |Green|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Calculated: abs(red) + abs(amber) + abs(green)</w:t>
            </w:r>
          </w:p>
        </w:tc>
      </w:tr>
    </w:tbl>
    <w:p/>
    <w:p>
      <w:pPr>
        <w:pStyle w:val="Heading2"/>
      </w:pPr>
      <w:r>
        <w:rPr>
          <w:color w:val="1A3C6E"/>
        </w:rPr>
        <w:t>Current Hardcoded Values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Month</w:t>
            </w:r>
          </w:p>
        </w:tc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Red (GBP)</w:t>
            </w:r>
          </w:p>
        </w:tc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Amber (GBP)</w:t>
            </w:r>
          </w:p>
        </w:tc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Green (GBP)</w:t>
            </w:r>
          </w:p>
        </w:tc>
        <w:tc>
          <w:tcPr>
            <w:tcW w:type="dxa" w:w="1984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Fixed (GBP)</w:t>
            </w:r>
          </w:p>
        </w:tc>
        <w:tc>
          <w:tcPr>
            <w:tcW w:type="dxa" w:w="255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Net Credit (GBP)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Sep 25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-322.81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-410.03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-43.94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3.58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773.20</w:t>
            </w:r>
          </w:p>
        </w:tc>
      </w:tr>
      <w:tr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Oct 25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-5,500.11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-268.35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-42.92</w:t>
            </w:r>
          </w:p>
        </w:tc>
        <w:tc>
          <w:tcPr>
            <w:tcW w:type="dxa" w:w="1984"/>
            <w:shd w:fill="F2F6FA" w:val="clear"/>
          </w:tcPr>
          <w:p>
            <w:r/>
            <w:r>
              <w:rPr>
                <w:sz w:val="16"/>
              </w:rPr>
              <w:t>3.70</w:t>
            </w:r>
          </w:p>
        </w:tc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5,807.68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Nov 25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-5,379.73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-106.41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-42.54</w:t>
            </w:r>
          </w:p>
        </w:tc>
        <w:tc>
          <w:tcPr>
            <w:tcW w:type="dxa" w:w="1984"/>
          </w:tcPr>
          <w:p>
            <w:r/>
            <w:r>
              <w:rPr>
                <w:sz w:val="16"/>
              </w:rPr>
              <w:t>3.58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5,525.10</w:t>
            </w:r>
          </w:p>
        </w:tc>
      </w:tr>
    </w:tbl>
    <w:p/>
    <w:p>
      <w:r>
        <w:rPr>
          <w:b/>
          <w:sz w:val="16"/>
        </w:rPr>
        <w:t xml:space="preserve">Raw Files: </w:t>
      </w:r>
      <w:r>
        <w:rPr>
          <w:sz w:val="16"/>
        </w:rPr>
        <w:t>Pattern: NWOSFL_Hartree*_Gen_Inv_*.pdf in raw/New/OneDrive_3*/ and OneDrive_4*/. Negative values = credit to generator.</w:t>
      </w:r>
    </w:p>
    <w:p>
      <w:r>
        <w:br w:type="page"/>
      </w:r>
    </w:p>
    <w:p>
      <w:pPr>
        <w:pStyle w:val="Heading1"/>
      </w:pPr>
      <w:r>
        <w:rPr>
          <w:color w:val="1A3C6E"/>
        </w:rPr>
        <w:t>5. IAR — Investment Appraisal 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Internal financial model (Ampyr)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extra/Northwold BESS Revenue_IAR.xlsx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Static (set at investment decision, not updated)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Read Excel Sheet1, rows 4-11, columns 11-15 (Sep-Jan), multiply by 4.2 MW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 (Excel Row Mapping)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Excel Row</w:t>
            </w:r>
          </w:p>
        </w:tc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Revenue Stream</w:t>
            </w:r>
          </w:p>
        </w:tc>
        <w:tc>
          <w:tcPr>
            <w:tcW w:type="dxa" w:w="226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8504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Row 4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Day Ahead (DA)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GBP/MW/month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Day Ahead projected revenue per MW</w:t>
            </w:r>
          </w:p>
        </w:tc>
      </w:tr>
      <w:tr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Row 5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Intraday (ID)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GBP/MW/month</w:t>
            </w:r>
          </w:p>
        </w:tc>
        <w:tc>
          <w:tcPr>
            <w:tcW w:type="dxa" w:w="8504"/>
            <w:shd w:fill="F2F6FA" w:val="clear"/>
          </w:tcPr>
          <w:p>
            <w:r/>
            <w:r>
              <w:rPr>
                <w:sz w:val="16"/>
              </w:rPr>
              <w:t>Intraday projected revenue per MW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Row 6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Balancing Mechanism (BM)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GBP/MW/month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BM projected revenue per MW</w:t>
            </w:r>
          </w:p>
        </w:tc>
      </w:tr>
      <w:tr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Row 7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Frequency Response (FR)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GBP/MW/month</w:t>
            </w:r>
          </w:p>
        </w:tc>
        <w:tc>
          <w:tcPr>
            <w:tcW w:type="dxa" w:w="8504"/>
            <w:shd w:fill="F2F6FA" w:val="clear"/>
          </w:tcPr>
          <w:p>
            <w:r/>
            <w:r>
              <w:rPr>
                <w:sz w:val="16"/>
              </w:rPr>
              <w:t>FR projected revenue per MW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Row 8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Capacity Market (CM)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GBP/MW/month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CM projected revenue per MW</w:t>
            </w:r>
          </w:p>
        </w:tc>
      </w:tr>
      <w:tr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Row 9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DUoS Battery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GBP/MW/month</w:t>
            </w:r>
          </w:p>
        </w:tc>
        <w:tc>
          <w:tcPr>
            <w:tcW w:type="dxa" w:w="8504"/>
            <w:shd w:fill="F2F6FA" w:val="clear"/>
          </w:tcPr>
          <w:p>
            <w:r/>
            <w:r>
              <w:rPr>
                <w:sz w:val="16"/>
              </w:rPr>
              <w:t>DUoS battery credit projection per MW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6"/>
              </w:rPr>
              <w:t>Row 10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DUoS Fixed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GBP/MW/month</w:t>
            </w:r>
          </w:p>
        </w:tc>
        <w:tc>
          <w:tcPr>
            <w:tcW w:type="dxa" w:w="8504"/>
          </w:tcPr>
          <w:p>
            <w:r/>
            <w:r>
              <w:rPr>
                <w:sz w:val="16"/>
              </w:rPr>
              <w:t>DUoS fixed charges projection per MW</w:t>
            </w:r>
          </w:p>
        </w:tc>
      </w:tr>
      <w:tr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Row 11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TNUoS</w:t>
            </w:r>
          </w:p>
        </w:tc>
        <w:tc>
          <w:tcPr>
            <w:tcW w:type="dxa" w:w="2268"/>
            <w:shd w:fill="F2F6FA" w:val="clear"/>
          </w:tcPr>
          <w:p>
            <w:r/>
            <w:r>
              <w:rPr>
                <w:sz w:val="16"/>
              </w:rPr>
              <w:t>GBP/MW/month</w:t>
            </w:r>
          </w:p>
        </w:tc>
        <w:tc>
          <w:tcPr>
            <w:tcW w:type="dxa" w:w="8504"/>
            <w:shd w:fill="F2F6FA" w:val="clear"/>
          </w:tcPr>
          <w:p>
            <w:r/>
            <w:r>
              <w:rPr>
                <w:sz w:val="16"/>
              </w:rPr>
              <w:t>Transmission Use of System projection per MW</w:t>
            </w:r>
          </w:p>
        </w:tc>
      </w:tr>
    </w:tbl>
    <w:p/>
    <w:p>
      <w:pPr>
        <w:pStyle w:val="Heading2"/>
      </w:pPr>
      <w:r>
        <w:rPr>
          <w:color w:val="1A3C6E"/>
        </w:rPr>
        <w:t>Column Mapping (Excel columns to months)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Excel Column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Month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Sep 25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Oct 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13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Nov 25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14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Dec 25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15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Jan 26</w:t>
            </w:r>
          </w:p>
        </w:tc>
      </w:tr>
    </w:tbl>
    <w:p/>
    <w:p>
      <w:r>
        <w:rPr>
          <w:b/>
          <w:sz w:val="16"/>
        </w:rPr>
        <w:t xml:space="preserve">Scaling: </w:t>
      </w:r>
      <w:r>
        <w:rPr>
          <w:sz w:val="16"/>
        </w:rPr>
        <w:t>IAR values are per MW per month. Multiplied by 4.2 MW (Northwold capacity). Indexation factor: 1.073.</w:t>
      </w:r>
    </w:p>
    <w:p>
      <w:r>
        <w:br w:type="page"/>
      </w:r>
    </w:p>
    <w:p>
      <w:pPr>
        <w:pStyle w:val="Heading1"/>
      </w:pPr>
      <w:r>
        <w:rPr>
          <w:color w:val="1A3C6E"/>
        </w:rPr>
        <w:t>6. NREL — Battery Degradation Benchmarks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NREL (National Renewable Energy Laboratory)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Document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"Grid-Scale Battery Storage: Frequently Asked Questions" (2022)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Public PDF: https://www.nrel.gov/docs/fy22osti/80688.pdf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Static reference document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Manual — degradation ranges from battery cycle life section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Local Copy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docs/external_sources/NREL_Battery_Degradation_fy22osti-80688.pdf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11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6520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Degradation Low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streamlit_dashboard.py:3490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4.0%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%/year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High-quality cells, conservative operation</w:t>
            </w:r>
          </w:p>
        </w:tc>
      </w:tr>
      <w:tr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Degradation Mid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streamlit_dashboard.py:3491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4.4%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%/year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Typical lithium-ion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Degradation High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streamlit_dashboard.py:3492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11.0%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%/year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Aggressive cycling, poor thermal management</w:t>
            </w:r>
          </w:p>
        </w:tc>
      </w:tr>
      <w:tr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WARRANTY_DEGRADATION_ANNUAL_PCT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streamlit_dashboard.py:1044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2.5%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%/year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Annual degradation at warranty cycle limit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6"/>
              </w:rPr>
              <w:t>80% SOH threshold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streamlit_dashboard.py:1340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80%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End-of-life threshold</w:t>
            </w:r>
          </w:p>
        </w:tc>
      </w:tr>
    </w:tbl>
    <w:p/>
    <w:p>
      <w:r>
        <w:rPr>
          <w:b/>
          <w:sz w:val="16"/>
        </w:rPr>
        <w:t xml:space="preserve">Derived calculations: </w:t>
      </w:r>
      <w:r>
        <w:rPr>
          <w:sz w:val="16"/>
        </w:rPr>
        <w:t>Degradation per cycle = WARRANTY_DEGRADATION_ANNUAL_PCT / 365. Annual degradation = actual annual cycles x degradation per cycle. Years to 80% SOH = 20% / annual degradation rate.</w:t>
      </w:r>
    </w:p>
    <w:p>
      <w:pPr>
        <w:pStyle w:val="Heading1"/>
      </w:pPr>
      <w:r>
        <w:rPr>
          <w:color w:val="1A3C6E"/>
        </w:rPr>
        <w:t>7. National Grid ESO — Availability Benchmarks (TWCAA)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National Grid ESO — Transmission Performance Reports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nationalgrideso.com/research-and-publications/transmission-performance-reports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Quarterly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Manual — read quarterly reports for BESS availability metrics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Northwold TWCAA data TBD — requires ESO reporting data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1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6520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Availability Low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streamlit_dashboard.py:3510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90%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Significant downtime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Availability Mid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streamlit_dashboard.py:3511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94.4%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Typical BESS performance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Availability High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streamlit_dashboard.py:3512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98%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Excellent availability</w:t>
            </w:r>
          </w:p>
        </w:tc>
      </w:tr>
    </w:tbl>
    <w:p/>
    <w:p>
      <w:pPr>
        <w:pStyle w:val="Heading1"/>
      </w:pPr>
      <w:r>
        <w:rPr>
          <w:color w:val="1A3C6E"/>
        </w:rPr>
        <w:t>8. DNV GL — Round-Trip Efficiency Benchmarks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DNV GL — Energy Storage Performance Standards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Industry standard reference (from DNV technical publications)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Static industry reference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Manual — from DNV energy storage performance standards documentation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1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6520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RTE Low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streamlit_dashboard.py:3530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82%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Older systems, poor conditions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RTE Mid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streamlit_dashboard.py:3531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85%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Typical Li-ion NMC/LFP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RTE High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streamlit_dashboard.py:3532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90%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Optimised operation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EFF_ROUND_TRIP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src/config/asset_config.py:21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87%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Northwold design RTE (used in optimisation)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9. OEM Warranty — Cycle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247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Source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Northwold Storage Asset Optimisation Agreement (contract)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Access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Internal contract document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Update Frequency</w:t>
            </w:r>
          </w:p>
        </w:tc>
        <w:tc>
          <w:tcPr>
            <w:tcW w:type="dxa" w:w="12472"/>
          </w:tcPr>
          <w:p>
            <w:r/>
            <w:r>
              <w:rPr>
                <w:sz w:val="16"/>
              </w:rPr>
              <w:t>Static (contractual)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Extraction Method</w:t>
            </w:r>
          </w:p>
        </w:tc>
        <w:tc>
          <w:tcPr>
            <w:tcW w:type="dxa" w:w="12472"/>
            <w:shd w:fill="F2F6FA" w:val="clear"/>
          </w:tcPr>
          <w:p>
            <w:r/>
            <w:r>
              <w:rPr>
                <w:sz w:val="16"/>
              </w:rPr>
              <w:t>From contract terms</w:t>
            </w:r>
          </w:p>
        </w:tc>
      </w:tr>
    </w:tbl>
    <w:p/>
    <w:p>
      <w:pPr>
        <w:pStyle w:val="Heading2"/>
      </w:pPr>
      <w:r>
        <w:rPr>
          <w:color w:val="1A3C6E"/>
        </w:rPr>
        <w:t>Variables Used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402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5953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CYCLES_PER_DAY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src/config/asset_config.py:31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1.5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cycles/day</w:t>
            </w:r>
          </w:p>
        </w:tc>
        <w:tc>
          <w:tcPr>
            <w:tcW w:type="dxa" w:w="5953"/>
          </w:tcPr>
          <w:p>
            <w:r/>
            <w:r>
              <w:rPr>
                <w:sz w:val="16"/>
              </w:rPr>
              <w:t>Maximum daily cycles under warranty</w:t>
            </w:r>
          </w:p>
        </w:tc>
      </w:tr>
      <w:tr>
        <w:tc>
          <w:tcPr>
            <w:tcW w:type="dxa" w:w="3402"/>
            <w:shd w:fill="F2F6FA" w:val="clear"/>
          </w:tcPr>
          <w:p>
            <w:r/>
            <w:r>
              <w:rPr>
                <w:sz w:val="16"/>
              </w:rPr>
              <w:t>MAX_DAILY_THROUGHPUT_MWH</w:t>
            </w:r>
          </w:p>
        </w:tc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src/config/asset_config.py:32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12.6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MWh</w:t>
            </w:r>
          </w:p>
        </w:tc>
        <w:tc>
          <w:tcPr>
            <w:tcW w:type="dxa" w:w="5953"/>
            <w:shd w:fill="F2F6FA" w:val="clear"/>
          </w:tcPr>
          <w:p>
            <w:r/>
            <w:r>
              <w:rPr>
                <w:sz w:val="16"/>
              </w:rPr>
              <w:t>= 8.4 MWh x 1.5 cycles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6"/>
              </w:rPr>
              <w:t>Annual cycle limit (derived)</w:t>
            </w:r>
          </w:p>
        </w:tc>
        <w:tc>
          <w:tcPr>
            <w:tcW w:type="dxa" w:w="2835"/>
          </w:tcPr>
          <w:p>
            <w:r/>
            <w:r>
              <w:rPr>
                <w:sz w:val="16"/>
              </w:rPr>
              <w:t>streamlit_dashboard.py:1066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547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cycles/year</w:t>
            </w:r>
          </w:p>
        </w:tc>
        <w:tc>
          <w:tcPr>
            <w:tcW w:type="dxa" w:w="5953"/>
          </w:tcPr>
          <w:p>
            <w:r/>
            <w:r>
              <w:rPr>
                <w:sz w:val="16"/>
              </w:rPr>
              <w:t>= 1.5 x 365</w:t>
            </w:r>
          </w:p>
        </w:tc>
      </w:tr>
    </w:tbl>
    <w:p/>
    <w:p>
      <w:pPr>
        <w:pStyle w:val="Heading1"/>
      </w:pPr>
      <w:r>
        <w:rPr>
          <w:color w:val="1A3C6E"/>
        </w:rPr>
        <w:t>10. Asset Physical Parameters (from Optimisation Agreement)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8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118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Code Location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6520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P_IMP_MAX_MW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src/config/asset_config.py:14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4.2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MW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Max charge rate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P_EXP_MAX_MW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src/config/asset_config.py:15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7.5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MW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Max discharge rate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CAPACITY_MWH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src/config/asset_config.py:18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8.4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MWh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Usable energy capacity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EFF_ROUND_TRIP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src/config/asset_config.py:21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0.87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ratio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Round-trip efficiency (87%)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SOC_MIN_PCT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src/config/asset_config.py:24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5%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Min state of charge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SOC_MAX_PCT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src/config/asset_config.py:25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Max state of charge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6"/>
              </w:rPr>
              <w:t>OWNER_SHARE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src/config/asset_config.py:39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95%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</w:tcPr>
          <w:p>
            <w:r/>
            <w:r>
              <w:rPr>
                <w:sz w:val="16"/>
              </w:rPr>
              <w:t>Owner revenue share</w:t>
            </w:r>
          </w:p>
        </w:tc>
      </w:tr>
      <w:tr>
        <w:tc>
          <w:tcPr>
            <w:tcW w:type="dxa" w:w="2835"/>
            <w:shd w:fill="F2F6FA" w:val="clear"/>
          </w:tcPr>
          <w:p>
            <w:r/>
            <w:r>
              <w:rPr>
                <w:sz w:val="16"/>
              </w:rPr>
              <w:t>AGGREGATOR_SHARE</w:t>
            </w:r>
          </w:p>
        </w:tc>
        <w:tc>
          <w:tcPr>
            <w:tcW w:type="dxa" w:w="3118"/>
            <w:shd w:fill="F2F6FA" w:val="clear"/>
          </w:tcPr>
          <w:p>
            <w:r/>
            <w:r>
              <w:rPr>
                <w:sz w:val="16"/>
              </w:rPr>
              <w:t>src/config/asset_config.py:40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5%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%</w:t>
            </w:r>
          </w:p>
        </w:tc>
        <w:tc>
          <w:tcPr>
            <w:tcW w:type="dxa" w:w="6520"/>
            <w:shd w:fill="F2F6FA" w:val="clear"/>
          </w:tcPr>
          <w:p>
            <w:r/>
            <w:r>
              <w:rPr>
                <w:sz w:val="16"/>
              </w:rPr>
              <w:t>GridBeyond revenue share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C6E"/>
        </w:rPr>
        <w:t>Summary: Data Update Workflow for Production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255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368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Current Method</w:t>
            </w:r>
          </w:p>
        </w:tc>
        <w:tc>
          <w:tcPr>
            <w:tcW w:type="dxa" w:w="4535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Automation Potential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Priority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Modo Energy Benchmark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Monthly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Manual — read article, extract GBP/MW/yr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Low (JS-rendered site, no public API). Explore Modo paid data platform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CM (EMR T062)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Monthly</w:t>
            </w:r>
          </w:p>
        </w:tc>
        <w:tc>
          <w:tcPr>
            <w:tcW w:type="dxa" w:w="3685"/>
            <w:shd w:fill="F2F6FA" w:val="clear"/>
          </w:tcPr>
          <w:p>
            <w:r/>
            <w:r>
              <w:rPr>
                <w:sz w:val="16"/>
              </w:rPr>
              <w:t>Download CSV from EMR portal, filter by contract</w:t>
            </w:r>
          </w:p>
        </w:tc>
        <w:tc>
          <w:tcPr>
            <w:tcW w:type="dxa" w:w="4535"/>
            <w:shd w:fill="F2F6FA" w:val="clear"/>
          </w:tcPr>
          <w:p>
            <w:r/>
            <w:r>
              <w:rPr>
                <w:sz w:val="16"/>
              </w:rPr>
              <w:t>Medium — automate CSV download + parsing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DUoS (Hartree)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Monthly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Read PDF invoice, extract line items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Medium — PDF parsing with OCR/tabula possible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IAR Projections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Static</w:t>
            </w:r>
          </w:p>
        </w:tc>
        <w:tc>
          <w:tcPr>
            <w:tcW w:type="dxa" w:w="3685"/>
            <w:shd w:fill="F2F6FA" w:val="clear"/>
          </w:tcPr>
          <w:p>
            <w:r/>
            <w:r>
              <w:rPr>
                <w:sz w:val="16"/>
              </w:rPr>
              <w:t>One-time Excel read</w:t>
            </w:r>
          </w:p>
        </w:tc>
        <w:tc>
          <w:tcPr>
            <w:tcW w:type="dxa" w:w="4535"/>
            <w:shd w:fill="F2F6FA" w:val="clear"/>
          </w:tcPr>
          <w:p>
            <w:r/>
            <w:r>
              <w:rPr>
                <w:sz w:val="16"/>
              </w:rPr>
              <w:t>High — already automated in code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GridBeyond Revenue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Monthly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Process backing data spreadsheet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High — structured Excel -&gt; CSV pipeline exists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High</w:t>
            </w:r>
          </w:p>
        </w:tc>
      </w:tr>
      <w:tr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NREL Degradation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Static</w:t>
            </w:r>
          </w:p>
        </w:tc>
        <w:tc>
          <w:tcPr>
            <w:tcW w:type="dxa" w:w="3685"/>
            <w:shd w:fill="F2F6FA" w:val="clear"/>
          </w:tcPr>
          <w:p>
            <w:r/>
            <w:r>
              <w:rPr>
                <w:sz w:val="16"/>
              </w:rPr>
              <w:t>Reference values</w:t>
            </w:r>
          </w:p>
        </w:tc>
        <w:tc>
          <w:tcPr>
            <w:tcW w:type="dxa" w:w="4535"/>
            <w:shd w:fill="F2F6FA" w:val="clear"/>
          </w:tcPr>
          <w:p>
            <w:r/>
            <w:r>
              <w:rPr>
                <w:sz w:val="16"/>
              </w:rPr>
              <w:t>N/A — hardcoded constants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National Grid ESO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Quarterly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Read performance report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Low — manual quarterly review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Low</w:t>
            </w:r>
          </w:p>
        </w:tc>
      </w:tr>
      <w:tr>
        <w:tc>
          <w:tcPr>
            <w:tcW w:type="dxa" w:w="2551"/>
            <w:shd w:fill="F2F6FA" w:val="clear"/>
          </w:tcPr>
          <w:p>
            <w:r/>
            <w:r>
              <w:rPr>
                <w:sz w:val="16"/>
              </w:rPr>
              <w:t>DNV GL RTE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Static</w:t>
            </w:r>
          </w:p>
        </w:tc>
        <w:tc>
          <w:tcPr>
            <w:tcW w:type="dxa" w:w="3685"/>
            <w:shd w:fill="F2F6FA" w:val="clear"/>
          </w:tcPr>
          <w:p>
            <w:r/>
            <w:r>
              <w:rPr>
                <w:sz w:val="16"/>
              </w:rPr>
              <w:t>Reference values</w:t>
            </w:r>
          </w:p>
        </w:tc>
        <w:tc>
          <w:tcPr>
            <w:tcW w:type="dxa" w:w="4535"/>
            <w:shd w:fill="F2F6FA" w:val="clear"/>
          </w:tcPr>
          <w:p>
            <w:r/>
            <w:r>
              <w:rPr>
                <w:sz w:val="16"/>
              </w:rPr>
              <w:t>N/A — hardcoded constants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OEM Warranty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Static</w:t>
            </w:r>
          </w:p>
        </w:tc>
        <w:tc>
          <w:tcPr>
            <w:tcW w:type="dxa" w:w="3685"/>
          </w:tcPr>
          <w:p>
            <w:r/>
            <w:r>
              <w:rPr>
                <w:sz w:val="16"/>
              </w:rPr>
              <w:t>Contract terms</w:t>
            </w:r>
          </w:p>
        </w:tc>
        <w:tc>
          <w:tcPr>
            <w:tcW w:type="dxa" w:w="4535"/>
          </w:tcPr>
          <w:p>
            <w:r/>
            <w:r>
              <w:rPr>
                <w:sz w:val="16"/>
              </w:rPr>
              <w:t>N/A — hardcoded constants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Done</w:t>
            </w:r>
          </w:p>
        </w:tc>
      </w:tr>
    </w:tbl>
    <w:p/>
    <w:p>
      <w:pPr>
        <w:pStyle w:val="Heading1"/>
      </w:pPr>
      <w:r>
        <w:rPr>
          <w:color w:val="1A3C6E"/>
        </w:rPr>
        <w:t>Downloaded Reference Files</w:t>
      </w:r>
    </w:p>
    <w:p>
      <w:r>
        <w:t xml:space="preserve">All files saved in </w:t>
      </w:r>
      <w:r>
        <w:rPr>
          <w:b/>
          <w:sz w:val="18"/>
        </w:rPr>
        <w:t>docs/external_sources/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969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701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417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Size</w:t>
            </w:r>
          </w:p>
        </w:tc>
        <w:tc>
          <w:tcPr>
            <w:tcW w:type="dxa" w:w="1134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Format</w:t>
            </w:r>
          </w:p>
        </w:tc>
        <w:tc>
          <w:tcPr>
            <w:tcW w:type="dxa" w:w="4819"/>
            <w:shd w:fill="1A3C6E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NREL_Battery_Degradation_fy22osti-80688.pdf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NREL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3.6 MB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PDF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Full document, readable</w:t>
            </w:r>
          </w:p>
        </w:tc>
      </w:tr>
      <w:tr>
        <w:tc>
          <w:tcPr>
            <w:tcW w:type="dxa" w:w="3969"/>
            <w:shd w:fill="F2F6FA" w:val="clear"/>
          </w:tcPr>
          <w:p>
            <w:r/>
            <w:r>
              <w:rPr>
                <w:sz w:val="16"/>
              </w:rPr>
              <w:t>Modo_2024_Year_in_Review.html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Modo Energy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647 KB</w:t>
            </w:r>
          </w:p>
        </w:tc>
        <w:tc>
          <w:tcPr>
            <w:tcW w:type="dxa" w:w="1134"/>
            <w:shd w:fill="F2F6FA" w:val="clear"/>
          </w:tcPr>
          <w:p>
            <w:r/>
            <w:r>
              <w:rPr>
                <w:sz w:val="16"/>
              </w:rPr>
              <w:t>HTML</w:t>
            </w:r>
          </w:p>
        </w:tc>
        <w:tc>
          <w:tcPr>
            <w:tcW w:type="dxa" w:w="4819"/>
            <w:shd w:fill="F2F6FA" w:val="clear"/>
          </w:tcPr>
          <w:p>
            <w:r/>
            <w:r>
              <w:rPr>
                <w:sz w:val="16"/>
              </w:rPr>
              <w:t>JS-rendered — open URL in browser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Modo_Dec2024_Benchmark.html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Modo Energy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648 KB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HTML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JS-rendered — open URL in browser</w:t>
            </w:r>
          </w:p>
        </w:tc>
      </w:tr>
      <w:tr>
        <w:tc>
          <w:tcPr>
            <w:tcW w:type="dxa" w:w="3969"/>
            <w:shd w:fill="F2F6FA" w:val="clear"/>
          </w:tcPr>
          <w:p>
            <w:r/>
            <w:r>
              <w:rPr>
                <w:sz w:val="16"/>
              </w:rPr>
              <w:t>Modo_Jan2025_Roundup.html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Modo Energy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659 KB</w:t>
            </w:r>
          </w:p>
        </w:tc>
        <w:tc>
          <w:tcPr>
            <w:tcW w:type="dxa" w:w="1134"/>
            <w:shd w:fill="F2F6FA" w:val="clear"/>
          </w:tcPr>
          <w:p>
            <w:r/>
            <w:r>
              <w:rPr>
                <w:sz w:val="16"/>
              </w:rPr>
              <w:t>HTML</w:t>
            </w:r>
          </w:p>
        </w:tc>
        <w:tc>
          <w:tcPr>
            <w:tcW w:type="dxa" w:w="4819"/>
            <w:shd w:fill="F2F6FA" w:val="clear"/>
          </w:tcPr>
          <w:p>
            <w:r/>
            <w:r>
              <w:rPr>
                <w:sz w:val="16"/>
              </w:rPr>
              <w:t>JS-rendered — open URL in browser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Modo_Jun2025_Benchmark.html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Modo Energy</w:t>
            </w:r>
          </w:p>
        </w:tc>
        <w:tc>
          <w:tcPr>
            <w:tcW w:type="dxa" w:w="1417"/>
          </w:tcPr>
          <w:p>
            <w:r/>
            <w:r>
              <w:rPr>
                <w:sz w:val="16"/>
              </w:rPr>
              <w:t>654 KB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HTML</w:t>
            </w:r>
          </w:p>
        </w:tc>
        <w:tc>
          <w:tcPr>
            <w:tcW w:type="dxa" w:w="4819"/>
          </w:tcPr>
          <w:p>
            <w:r/>
            <w:r>
              <w:rPr>
                <w:sz w:val="16"/>
              </w:rPr>
              <w:t>JS-rendered — open URL in browser</w:t>
            </w:r>
          </w:p>
        </w:tc>
      </w:tr>
      <w:tr>
        <w:tc>
          <w:tcPr>
            <w:tcW w:type="dxa" w:w="3969"/>
            <w:shd w:fill="F2F6FA" w:val="clear"/>
          </w:tcPr>
          <w:p>
            <w:r/>
            <w:r>
              <w:rPr>
                <w:sz w:val="16"/>
              </w:rPr>
              <w:t>Modo_TB_Spread_Benchmark.html</w:t>
            </w:r>
          </w:p>
        </w:tc>
        <w:tc>
          <w:tcPr>
            <w:tcW w:type="dxa" w:w="1701"/>
            <w:shd w:fill="F2F6FA" w:val="clear"/>
          </w:tcPr>
          <w:p>
            <w:r/>
            <w:r>
              <w:rPr>
                <w:sz w:val="16"/>
              </w:rPr>
              <w:t>Modo Energy</w:t>
            </w:r>
          </w:p>
        </w:tc>
        <w:tc>
          <w:tcPr>
            <w:tcW w:type="dxa" w:w="1417"/>
            <w:shd w:fill="F2F6FA" w:val="clear"/>
          </w:tcPr>
          <w:p>
            <w:r/>
            <w:r>
              <w:rPr>
                <w:sz w:val="16"/>
              </w:rPr>
              <w:t>640 KB</w:t>
            </w:r>
          </w:p>
        </w:tc>
        <w:tc>
          <w:tcPr>
            <w:tcW w:type="dxa" w:w="1134"/>
            <w:shd w:fill="F2F6FA" w:val="clear"/>
          </w:tcPr>
          <w:p>
            <w:r/>
            <w:r>
              <w:rPr>
                <w:sz w:val="16"/>
              </w:rPr>
              <w:t>HTML</w:t>
            </w:r>
          </w:p>
        </w:tc>
        <w:tc>
          <w:tcPr>
            <w:tcW w:type="dxa" w:w="4819"/>
            <w:shd w:fill="F2F6FA" w:val="clear"/>
          </w:tcPr>
          <w:p>
            <w:r/>
            <w:r>
              <w:rPr>
                <w:sz w:val="16"/>
              </w:rPr>
              <w:t>JS-rendered — open URL in browser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6"/>
        </w:rPr>
        <w:t>--- End of Document ---</w:t>
      </w:r>
    </w:p>
    <w:p>
      <w:pPr>
        <w:jc w:val="center"/>
      </w:pPr>
      <w:r>
        <w:rPr>
          <w:color w:val="999999"/>
          <w:sz w:val="14"/>
        </w:rPr>
        <w:t>Ampyr Energy Tech Solutions Pvt Ltd | Confidential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