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Market Rate Data Subscriptions — Germany &amp; Netherlands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Data requirements for extending the BESS dashboard to German and Dutch assets</w:t>
        <w:br/>
      </w:r>
      <w:r>
        <w:rPr>
          <w:b/>
          <w:sz w:val="20"/>
        </w:rPr>
        <w:t xml:space="preserve">Reference: </w:t>
      </w:r>
      <w:r>
        <w:rPr>
          <w:sz w:val="20"/>
        </w:rPr>
        <w:t>See UK Market Rate Data Subscriptions document for existing UK requirements</w:t>
        <w:br/>
      </w:r>
      <w:r>
        <w:rPr>
          <w:b/>
          <w:sz w:val="20"/>
        </w:rPr>
        <w:t xml:space="preserve">Prepared: </w:t>
      </w:r>
      <w:r>
        <w:rPr>
          <w:sz w:val="20"/>
        </w:rPr>
        <w:t>February 2026</w:t>
        <w:br/>
      </w:r>
    </w:p>
    <w:p/>
    <w:p>
      <w:pPr>
        <w:pStyle w:val="Heading1"/>
      </w:pPr>
      <w:r>
        <w:rPr>
          <w:color w:val="1F3864"/>
        </w:rPr>
        <w:t>Key Structural Differences from 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UK (GB)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Germany (DE)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Netherlands (NL)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Settlement period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 min (48/day)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 min (96/day)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 min (96/day)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GBP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EUR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EUR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TSO(s)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NESO (1)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50Hertz, Amprion, TenneT, TransnetBW (4)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TenneT NL (1)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Bidding zone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GB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DE-LU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NL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Exchange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EPEX SPOT / Nord Pool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EPEX SPOT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EPEX SPOT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Imbalance pricing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Dual (SSP / SBP)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Single (reBAP)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Hybrid single/dual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Frequency response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SFFR, DC, DM, DR (GB-specific)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FCR, aFRR, mFRR (EU std)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FCR, aFRR, mFRR (EU std)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Intraday auctions/day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1 (IDA1)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3 (IDA1, IDA2, IDA3)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3 (IDA1, IDA2, IDA3)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Intraday gate closure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 min before delivery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min before delivery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min before delivery</w:t>
            </w:r>
          </w:p>
        </w:tc>
      </w:tr>
    </w:tbl>
    <w:p>
      <w:r>
        <w:rPr>
          <w:i/>
          <w:sz w:val="20"/>
        </w:rPr>
        <w:br/>
        <w:t>Dashboard implication: The move from 48 to 96 periods per day doubles the data volume. The ancillary services module needs a complete redesign — DE/NL use FCR/aFRR/mFRR instead of UK’s SFFR/DC/DM/DR products.</w:t>
      </w:r>
    </w:p>
    <w:p>
      <w:pPr>
        <w:pStyle w:val="Heading1"/>
      </w:pPr>
      <w:r>
        <w:rPr>
          <w:color w:val="1F3864"/>
        </w:rPr>
        <w:t>PART 1: GERMANY (DE)</w:t>
      </w:r>
    </w:p>
    <w:p>
      <w:pPr>
        <w:pStyle w:val="Heading2"/>
      </w:pPr>
      <w:r>
        <w:rPr>
          <w:color w:val="1F3864"/>
        </w:rPr>
        <w:t>1. Wholesale Electricity Prices — Germany</w:t>
      </w:r>
    </w:p>
    <w:p>
      <w:pPr>
        <w:pStyle w:val="Heading3"/>
      </w:pPr>
      <w:r>
        <w:rPr>
          <w:color w:val="1F3864"/>
        </w:rPr>
        <w:t>1.1 EPEX Day-Ahead Auction Price (DE-LU)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Next-day electricity price from the EPEX SPOT day-ahead auction for the Germany-Luxembourg bidding zone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Primary benchmark for charge/discharge arbitrage decisions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 (96 values per day, since October 2025)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Free source: </w:t>
      </w:r>
      <w:r>
        <w:rPr>
          <w:sz w:val="20"/>
        </w:rPr>
        <w:t>SMARD (Bundesnetzagentur) or ENTSO-E Transparency Platform</w:t>
      </w:r>
    </w:p>
    <w:p>
      <w:pPr>
        <w:pStyle w:val="ListBullet"/>
      </w:pPr>
      <w:r>
        <w:rPr>
          <w:b/>
          <w:sz w:val="20"/>
        </w:rPr>
        <w:t xml:space="preserve">Paid source: </w:t>
      </w:r>
      <w:r>
        <w:rPr>
          <w:sz w:val="20"/>
        </w:rPr>
        <w:t>EPEX SPOT (quote required)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 via SMARD / ENTSO-E</w:t>
      </w:r>
    </w:p>
    <w:p>
      <w:pPr>
        <w:pStyle w:val="Heading3"/>
      </w:pPr>
      <w:r>
        <w:rPr>
          <w:color w:val="1F3864"/>
        </w:rPr>
        <w:t>1.2 EPEX Intraday Auction 1 (IDA1) Price — DE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First same-day auction result — provides updated pricing after day-ahead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Second trading opportunity to refine positions before delivery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Gate closure: </w:t>
      </w:r>
      <w:r>
        <w:rPr>
          <w:sz w:val="20"/>
        </w:rPr>
        <w:t>15:00 CET on D-1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EPEX SPOT (paid subscription); partial data on SMARD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Bundled with EPEX SPOT subscription (quote required)</w:t>
      </w:r>
    </w:p>
    <w:p>
      <w:pPr>
        <w:pStyle w:val="Heading3"/>
      </w:pPr>
      <w:r>
        <w:rPr>
          <w:color w:val="1F3864"/>
        </w:rPr>
        <w:t>1.3 EPEX Intraday Auction 2 (IDA2) Price — DE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Second same-day auction — evening auction for full next day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Further position refinement; captures late-day forecast changes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Gate closure: </w:t>
      </w:r>
      <w:r>
        <w:rPr>
          <w:sz w:val="20"/>
        </w:rPr>
        <w:t>22:00 CET on D-1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EPEX SPOT (paid subscription)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Bundled with EPEX SPOT subscription</w:t>
      </w:r>
    </w:p>
    <w:p>
      <w:pPr>
        <w:pStyle w:val="Heading3"/>
      </w:pPr>
      <w:r>
        <w:rPr>
          <w:color w:val="1F3864"/>
        </w:rPr>
        <w:t>1.4 EPEX Intraday Auction 3 (IDA3) Price — DE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Third intraday auction — morning of delivery day for afternoon/evening periods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Captures same-day demand and generation updates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 (covers 12:00–24:00 delivery)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Gate closure: </w:t>
      </w:r>
      <w:r>
        <w:rPr>
          <w:sz w:val="20"/>
        </w:rPr>
        <w:t>10:00 CET on delivery day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EPEX SPOT (paid subscription)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Bundled with EPEX SPOT subscription</w:t>
      </w:r>
    </w:p>
    <w:p>
      <w:pPr>
        <w:pStyle w:val="Heading3"/>
      </w:pPr>
      <w:r>
        <w:rPr>
          <w:color w:val="1F3864"/>
        </w:rPr>
        <w:t>1.5 Intraday Continuous (IDC) Price — DE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Continuous electronic trading price on EPEX intraday market — trades executed up to 5 minutes before delivery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Captures real-time price volatility and short-notice opportunities; 5-minute gate closure is much shorter than UK’s 30-minute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 (aggregated from continuous trades)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EPEX SPOT (paid for real-time); SMARD (delayed, free)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Bundled with EPEX SPOT subscription</w:t>
      </w:r>
    </w:p>
    <w:p>
      <w:pPr>
        <w:pStyle w:val="Heading3"/>
      </w:pPr>
      <w:r>
        <w:rPr>
          <w:color w:val="1F3864"/>
        </w:rPr>
        <w:t>1.6 Imbalance Price (reBAP) — DE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Germany’s single, uniform imbalance settlement price (regelzonenuebergreifender einheitlicher Bilanzausgleichsenergiepreis)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Determines cost/revenue of any deviation from contracted position; unlike UK’s dual SSP/SBP, Germany uses a single symmetric price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 (per 15-min settlement period)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Netztransparenz.de (published by all 4 TSOs jointly)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ListBullet"/>
      </w:pPr>
      <w:r>
        <w:rPr>
          <w:b/>
          <w:sz w:val="20"/>
        </w:rPr>
        <w:t xml:space="preserve">Note: </w:t>
      </w:r>
      <w:r>
        <w:rPr>
          <w:sz w:val="20"/>
        </w:rPr>
        <w:t>Near-real-time estimator also available for live dashboards</w:t>
      </w:r>
    </w:p>
    <w:p>
      <w:pPr>
        <w:pStyle w:val="Heading2"/>
      </w:pPr>
      <w:r>
        <w:rPr>
          <w:color w:val="1F3864"/>
        </w:rPr>
        <w:t>2. Ancillary Services Clearing Prices — Germany</w:t>
      </w:r>
    </w:p>
    <w:p>
      <w:r>
        <w:rPr>
          <w:i/>
          <w:sz w:val="20"/>
        </w:rPr>
        <w:t>Germany uses the EU-standard FCR/aFRR/mFRR framework, procured jointly by the 4 TSOs via regelleistung.net. These replace the UK’s SFFR/DC/DM/DR products entirely.</w:t>
      </w:r>
    </w:p>
    <w:p>
      <w:pPr>
        <w:pStyle w:val="Heading3"/>
      </w:pPr>
      <w:r>
        <w:rPr>
          <w:color w:val="1F3864"/>
        </w:rPr>
        <w:t>2.1 FCR Capacity Price (Frequency Containment Reserve)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Clearing price for providing primary frequency containment — battery must respond within 30 seconds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FCR is a high-value revenue stream for BESS — historically up to ~€9,400/MW per month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4-hour block (6 blocks/day), daily tender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4-hour block</w:t>
      </w:r>
    </w:p>
    <w:p>
      <w:pPr>
        <w:pStyle w:val="ListBullet"/>
      </w:pPr>
      <w:r>
        <w:rPr>
          <w:b/>
          <w:sz w:val="20"/>
        </w:rPr>
        <w:t xml:space="preserve">Direction: </w:t>
      </w:r>
      <w:r>
        <w:rPr>
          <w:sz w:val="20"/>
        </w:rPr>
        <w:t>Symmetric (single bid covers both up and down)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Pay-as-cleared</w:t>
      </w:r>
    </w:p>
    <w:p>
      <w:pPr>
        <w:pStyle w:val="ListBullet"/>
      </w:pPr>
      <w:r>
        <w:rPr>
          <w:b/>
          <w:sz w:val="20"/>
        </w:rPr>
        <w:t xml:space="preserve">Min bid: </w:t>
      </w:r>
      <w:r>
        <w:rPr>
          <w:sz w:val="20"/>
        </w:rPr>
        <w:t>1 MW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Regelleistung.net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ListBullet"/>
      </w:pPr>
      <w:r>
        <w:rPr>
          <w:b/>
          <w:sz w:val="20"/>
        </w:rPr>
        <w:t xml:space="preserve">Note: </w:t>
      </w:r>
      <w:r>
        <w:rPr>
          <w:sz w:val="20"/>
        </w:rPr>
        <w:t>Procured via the FCR Cooperation — shared auction across DE, FR, BE, NL, AT, CH and others</w:t>
      </w:r>
    </w:p>
    <w:p>
      <w:pPr>
        <w:pStyle w:val="Heading3"/>
      </w:pPr>
      <w:r>
        <w:rPr>
          <w:color w:val="1F3864"/>
        </w:rPr>
        <w:t>2.2 aFRR Positive Capacity Price (Automatic FRR — Up)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upward secondary frequency response — activated automatically within 5 minutes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aFRR is a major revenue source for German BESS — positive capacity prices have reached ~€21,500/MW per month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4-hour block, daily tender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4-hour block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Pay-as-bid</w:t>
      </w:r>
    </w:p>
    <w:p>
      <w:pPr>
        <w:pStyle w:val="ListBullet"/>
      </w:pPr>
      <w:r>
        <w:rPr>
          <w:b/>
          <w:sz w:val="20"/>
        </w:rPr>
        <w:t xml:space="preserve">Min bid: </w:t>
      </w:r>
      <w:r>
        <w:rPr>
          <w:sz w:val="20"/>
        </w:rPr>
        <w:t>5 MW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Regelleistung.net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2.3 aFRR Negative Capacity Price (Automatic FRR — Down)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downward secondary frequency response — activated when grid frequency rises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Separate product from positive aFRR — enables full revenue stacking analysis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4-hour block, daily tender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4-hour block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Pay-as-bid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Regelleistung.net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2.4 aFRR Energy Activation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paid when aFRR reserve is actually dispatched — separate from the capacity holding payment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Determines actual revenue when battery is activated; Germany pays both capacity AND energy, unlike UK ancillary services which are capacity-only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activation event / quarter-hourly settlement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Pay-as-bid (merit order activation)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Regelleistung.net / Netztransparenz.de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2.5 mFRR Positive Capacity Price (Manual FRR — Up)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upward tertiary reserve — manually activated within 15 minutes for larger imbalances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Additional revenue stream, though typically lower value than FCR/aFRR for BESS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4-hour block, daily tender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4-hour block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Pay-as-bid</w:t>
      </w:r>
    </w:p>
    <w:p>
      <w:pPr>
        <w:pStyle w:val="ListBullet"/>
      </w:pPr>
      <w:r>
        <w:rPr>
          <w:b/>
          <w:sz w:val="20"/>
        </w:rPr>
        <w:t xml:space="preserve">Min bid: </w:t>
      </w:r>
      <w:r>
        <w:rPr>
          <w:sz w:val="20"/>
        </w:rPr>
        <w:t>5 MW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Regelleistung.net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2.6 mFRR Negative Capacity Price (Manual FRR — Down)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downward tertiary reserve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Completes the full ancillary service product suite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4-hour block, daily tender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4-hour block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Regelleistung.net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2.7 mFRR Energy Activation Price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paid when mFRR is dispatched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As with aFRR, actual revenue depends on both capacity and energy payments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activation event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Pay-as-bid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Regelleistung.net / Netztransparenz.de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2"/>
      </w:pPr>
      <w:r>
        <w:rPr>
          <w:color w:val="1F3864"/>
        </w:rPr>
        <w:t>3. German Data Sources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Provides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SMARD (Bundesnetzagentur)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 prices, generation mix, consumption, wholesale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Netztransparenz.de (4 TSOs)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Imbalance price (reBAP), near-real-time estimator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Regelleistung.net (4 TSOs)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FCR/aFRR/mFRR tender results, clearing prices, activation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ENTSO-E Transparency Platform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Cross-border flows, DA prices, load, generation by type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API token (email request)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EPEX SPOT (direct)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Official exchange prices, intraday continuous, order books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Paid (quote required)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Subscription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Nord Pool (alternative)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DE DA + intraday prices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~€1,200–5,000/year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Subscription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PART 2: NETHERLANDS (NL)</w:t>
      </w:r>
    </w:p>
    <w:p>
      <w:pPr>
        <w:pStyle w:val="Heading2"/>
      </w:pPr>
      <w:r>
        <w:rPr>
          <w:color w:val="1F3864"/>
        </w:rPr>
        <w:t>4. Wholesale Electricity Prices — Netherlands</w:t>
      </w:r>
    </w:p>
    <w:p>
      <w:pPr>
        <w:pStyle w:val="Heading3"/>
      </w:pPr>
      <w:r>
        <w:rPr>
          <w:color w:val="1F3864"/>
        </w:rPr>
        <w:t>4.1 EPEX Day-Ahead Auction Price (NL)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Next-day electricity price from the EPEX SPOT auction for the Netherlands bidding zone (formerly APX, now EPEX SPOT since 2015)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Primary arbitrage benchmark — determines charge/discharge schedule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 (96 values per day, since October 2025)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Free source: </w:t>
      </w:r>
      <w:r>
        <w:rPr>
          <w:sz w:val="20"/>
        </w:rPr>
        <w:t>ENTSO-E Transparency Platform</w:t>
      </w:r>
    </w:p>
    <w:p>
      <w:pPr>
        <w:pStyle w:val="ListBullet"/>
      </w:pPr>
      <w:r>
        <w:rPr>
          <w:b/>
          <w:sz w:val="20"/>
        </w:rPr>
        <w:t xml:space="preserve">Paid source: </w:t>
      </w:r>
      <w:r>
        <w:rPr>
          <w:sz w:val="20"/>
        </w:rPr>
        <w:t>EPEX SPOT (quote required)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 via ENTSO-E</w:t>
      </w:r>
    </w:p>
    <w:p>
      <w:pPr>
        <w:pStyle w:val="Heading3"/>
      </w:pPr>
      <w:r>
        <w:rPr>
          <w:color w:val="1F3864"/>
        </w:rPr>
        <w:t>4.2 EPEX Intraday Auction 1 (IDA1)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First same-day auction on EPEX SPOT for NL delivery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Refines trading position after DA auction; captures updated forecasts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Gate closure: </w:t>
      </w:r>
      <w:r>
        <w:rPr>
          <w:sz w:val="20"/>
        </w:rPr>
        <w:t>15:00 CET on D-1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EPEX SPOT (paid subscription)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Bundled with EPEX SPOT subscription</w:t>
      </w:r>
    </w:p>
    <w:p>
      <w:pPr>
        <w:pStyle w:val="Heading3"/>
      </w:pPr>
      <w:r>
        <w:rPr>
          <w:color w:val="1F3864"/>
        </w:rPr>
        <w:t>4.3 EPEX Intraday Auction 2 (IDA2)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Second same-day auction — evening update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Further position refinement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Gate closure: </w:t>
      </w:r>
      <w:r>
        <w:rPr>
          <w:sz w:val="20"/>
        </w:rPr>
        <w:t>22:00 CET on D-1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EPEX SPOT (paid subscription)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Bundled with EPEX SPOT subscription</w:t>
      </w:r>
    </w:p>
    <w:p>
      <w:pPr>
        <w:pStyle w:val="Heading3"/>
      </w:pPr>
      <w:r>
        <w:rPr>
          <w:color w:val="1F3864"/>
        </w:rPr>
        <w:t>4.4 EPEX Intraday Auction 3 (IDA3)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Third intraday auction — morning of delivery day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Same-day demand and generation adjustments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 (covers 12:00–24:00)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Gate closure: </w:t>
      </w:r>
      <w:r>
        <w:rPr>
          <w:sz w:val="20"/>
        </w:rPr>
        <w:t>10:00 CET on delivery day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EPEX SPOT (paid subscription)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Bundled with EPEX SPOT subscription</w:t>
      </w:r>
    </w:p>
    <w:p>
      <w:pPr>
        <w:pStyle w:val="Heading3"/>
      </w:pPr>
      <w:r>
        <w:rPr>
          <w:color w:val="1F3864"/>
        </w:rPr>
        <w:t>4.5 Intraday Continuous (IDC)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Continuous trading price on EPEX intraday — trades up to 5 minutes before delivery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Captures real-time volatility and short-notice opportunities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 (aggregated)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EPEX SPOT (paid subscription for real-time)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Bundled with EPEX SPOT subscription</w:t>
      </w:r>
    </w:p>
    <w:p>
      <w:pPr>
        <w:pStyle w:val="Heading3"/>
      </w:pPr>
      <w:r>
        <w:rPr>
          <w:color w:val="1F3864"/>
        </w:rPr>
        <w:t>4.6 Imbalance / Settlement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TenneT’s settlement price for balancing energy — determined by the most extreme aFRR activation price in each 15-minute period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The Dutch market explicitly rewards “passive balancing” — a BESS that charges when the system is long (or discharges when short) can profit from the imbalance price. This is a distinct revenue stream.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Quarter-hourly (per 15-min ISP)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Usually single price; dual pricing when both up and down balancing activated in same period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TenneT API (developer.tennet.eu)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 (registration required)</w:t>
      </w:r>
    </w:p>
    <w:p>
      <w:pPr>
        <w:pStyle w:val="ListBullet"/>
      </w:pPr>
      <w:r>
        <w:rPr>
          <w:b/>
          <w:sz w:val="20"/>
        </w:rPr>
        <w:t xml:space="preserve">Note: </w:t>
      </w:r>
      <w:r>
        <w:rPr>
          <w:sz w:val="20"/>
        </w:rPr>
        <w:t>TenneT also publishes balance delta (imbalance direction) in near-real-time — useful for passive balancing signals</w:t>
      </w:r>
    </w:p>
    <w:p>
      <w:pPr>
        <w:pStyle w:val="Heading2"/>
      </w:pPr>
      <w:r>
        <w:rPr>
          <w:color w:val="1F3864"/>
        </w:rPr>
        <w:t>5. Ancillary Services Clearing Prices — Netherlands</w:t>
      </w:r>
    </w:p>
    <w:p>
      <w:r>
        <w:rPr>
          <w:i/>
          <w:sz w:val="20"/>
        </w:rPr>
        <w:t>The Netherlands uses the same EU-standard FCR/aFRR/mFRR framework as Germany. Products are procured by TenneT NL, with cross-border sharing via PICASSO and MARI platforms.</w:t>
      </w:r>
    </w:p>
    <w:p>
      <w:pPr>
        <w:pStyle w:val="Heading3"/>
      </w:pPr>
      <w:r>
        <w:rPr>
          <w:color w:val="1F3864"/>
        </w:rPr>
        <w:t>5.1 FCR Capacity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Clearing price from the daily FCR Cooperation common auction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FCR is a key revenue stream for Dutch BESS — procured via the same pan-European auction as Germany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4-hour block (6 blocks/day), daily auction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4-hour block</w:t>
      </w:r>
    </w:p>
    <w:p>
      <w:pPr>
        <w:pStyle w:val="ListBullet"/>
      </w:pPr>
      <w:r>
        <w:rPr>
          <w:b/>
          <w:sz w:val="20"/>
        </w:rPr>
        <w:t xml:space="preserve">Direction: </w:t>
      </w:r>
      <w:r>
        <w:rPr>
          <w:sz w:val="20"/>
        </w:rPr>
        <w:t>Symmetric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Pay-as-cleared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TenneT transparency data / FCR Cooperation results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ListBullet"/>
      </w:pPr>
      <w:r>
        <w:rPr>
          <w:b/>
          <w:sz w:val="20"/>
        </w:rPr>
        <w:t xml:space="preserve">Note: </w:t>
      </w:r>
      <w:r>
        <w:rPr>
          <w:sz w:val="20"/>
        </w:rPr>
        <w:t>30% of TenneT’s FCR obligation must be sourced from providers physically in the Netherlands; remaining 70% can come from any FCR Cooperation country</w:t>
      </w:r>
    </w:p>
    <w:p>
      <w:pPr>
        <w:pStyle w:val="Heading3"/>
      </w:pPr>
      <w:r>
        <w:rPr>
          <w:color w:val="1F3864"/>
        </w:rPr>
        <w:t>5.2 aFRR Positive Capacity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upward automatic frequency restoration reserve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aFRR is a significant BESS revenue source; energy activation now cross-border via PICASSO platform (since October 2024)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Weekly and daily tenders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period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TenneT transparency data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5.3 aFRR Negative Capacity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downward automatic frequency restoration reserve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Separate product — needed for full revenue stacking analysis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Weekly and daily tenders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period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TenneT transparency data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5.4 aFRR Energy Activation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paid when aFRR is dispatched via the PICASSO platform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Since PICASSO go-live in NL (October 2024), cross-border aFRR sharing has created new energy activation revenue opportunities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activation / quarter-hourly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TenneT API / PICASSO results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5.5 mFRR Capacity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for providing manual frequency restoration reserve (historically called “noodvermogen” in Dutch market)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Additional revenue stream; NL connected to MARI platform from December 2025, enabling cross-border mFRR energy exchange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tender period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 per period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TenneT transparency data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3"/>
      </w:pPr>
      <w:r>
        <w:rPr>
          <w:color w:val="1F3864"/>
        </w:rPr>
        <w:t>5.6 mFRR Energy Activation Price — NL</w:t>
      </w:r>
    </w:p>
    <w:p>
      <w:pPr>
        <w:pStyle w:val="ListBullet"/>
      </w:pPr>
      <w:r>
        <w:rPr>
          <w:b/>
          <w:sz w:val="20"/>
        </w:rPr>
        <w:t xml:space="preserve">What: </w:t>
      </w:r>
      <w:r>
        <w:rPr>
          <w:sz w:val="20"/>
        </w:rPr>
        <w:t>Price paid when mFRR is dispatched via MARI platform</w:t>
      </w:r>
    </w:p>
    <w:p>
      <w:pPr>
        <w:pStyle w:val="ListBullet"/>
      </w:pPr>
      <w:r>
        <w:rPr>
          <w:b/>
          <w:sz w:val="20"/>
        </w:rPr>
        <w:t xml:space="preserve">Why needed: </w:t>
      </w:r>
      <w:r>
        <w:rPr>
          <w:sz w:val="20"/>
        </w:rPr>
        <w:t>New revenue stream since MARI connection in December 2025</w:t>
      </w:r>
    </w:p>
    <w:p>
      <w:pPr>
        <w:pStyle w:val="ListBullet"/>
      </w:pPr>
      <w:r>
        <w:rPr>
          <w:b/>
          <w:sz w:val="20"/>
        </w:rPr>
        <w:t xml:space="preserve">Frequency: </w:t>
      </w:r>
      <w:r>
        <w:rPr>
          <w:sz w:val="20"/>
        </w:rPr>
        <w:t>Per activation event</w:t>
      </w:r>
    </w:p>
    <w:p>
      <w:pPr>
        <w:pStyle w:val="ListBullet"/>
      </w:pPr>
      <w:r>
        <w:rPr>
          <w:b/>
          <w:sz w:val="20"/>
        </w:rPr>
        <w:t xml:space="preserve">Unit: </w:t>
      </w:r>
      <w:r>
        <w:rPr>
          <w:sz w:val="20"/>
        </w:rPr>
        <w:t>€/MWh</w:t>
      </w:r>
    </w:p>
    <w:p>
      <w:pPr>
        <w:pStyle w:val="ListBullet"/>
      </w:pPr>
      <w:r>
        <w:rPr>
          <w:b/>
          <w:sz w:val="20"/>
        </w:rPr>
        <w:t xml:space="preserve">Source: </w:t>
      </w:r>
      <w:r>
        <w:rPr>
          <w:sz w:val="20"/>
        </w:rPr>
        <w:t>TenneT API / MARI results</w:t>
      </w:r>
    </w:p>
    <w:p>
      <w:pPr>
        <w:pStyle w:val="ListBullet"/>
      </w:pPr>
      <w:r>
        <w:rPr>
          <w:b/>
          <w:sz w:val="20"/>
        </w:rPr>
        <w:t xml:space="preserve">Cost: </w:t>
      </w:r>
      <w:r>
        <w:rPr>
          <w:sz w:val="20"/>
        </w:rPr>
        <w:t>FREE</w:t>
      </w:r>
    </w:p>
    <w:p>
      <w:pPr>
        <w:pStyle w:val="Heading2"/>
      </w:pPr>
      <w:r>
        <w:rPr>
          <w:color w:val="1F3864"/>
        </w:rPr>
        <w:t>6. Dutch Data Sources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Provides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 Required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TenneT API (developer.tennet.eu)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Settlement prices, imbalance volumes, balance delta, regulation state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Registration + token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TenneT Transparency Portal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Ancillary service results, system data, download CSVs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Token for automation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ENTSO-E Transparency Platform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 prices, cross-border flows, generation, load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API token (email request)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EPEX SPOT (direct)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Official NL exchange prices, intraday continuous, order books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Paid (quote required)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Subscription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Nord Pool (alternative)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NL DA + intraday prices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~€1,700–3,300/year (FR/NL/AT/BE bundle)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Subscription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PART 3: CROSS-MARKET COMPARISON</w:t>
      </w:r>
    </w:p>
    <w:p>
      <w:pPr>
        <w:pStyle w:val="Heading2"/>
      </w:pPr>
      <w:r>
        <w:rPr>
          <w:color w:val="1F3864"/>
        </w:rPr>
        <w:t>7. Data Feed Count by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UK (GB)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Germany (DE)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Netherlands (NL)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Wholesale prices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 feeds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 feeds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 feeds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Imbalance prices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2 (SSP + SBP)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1 (reBAP)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1 (settlement price)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Ancillary capacity prices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 (SFFR, DCL/H, DML/H, DRL/H)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(FCR, aFRR+/-, mFRR+/-)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(FCR, aFRR+/-, mFRR+/-)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Ancillary energy prices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0 (capacity-only)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2 (aFRR + mFRR energy)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2 (aFRR + mFRR energy)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Total individual feeds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</w:t>
            </w:r>
          </w:p>
        </w:tc>
      </w:tr>
    </w:tbl>
    <w:p>
      <w:pPr>
        <w:pStyle w:val="Heading2"/>
      </w:pPr>
      <w:r>
        <w:rPr>
          <w:color w:val="1F3864"/>
        </w:rPr>
        <w:t>8. Ancillary Services Mapping (UK vs DE/NL)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UK Product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DE/NL Equivalent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Difference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SFFR (Static Firm Frequency Response)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direct equivalent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UK-specific product; closest is FCR but architecture differs</w:t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DC Low / DC High (Dynamic Containment)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FCR (Frequency Containment Reserve)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FCR is symmetric (one bid = both directions); DC is split Low/High. FCR 30s response; DC 1s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DM Low / DM High (Dynamic Modulation)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aFRR (automatic FRR)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aFRR activates within 5 min; separate +/- tenders. DE/NL pay capacity AND energy; UK capacity only</w:t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DR Low / DR High (Dynamic Regulation)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mFRR (manual FRR)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mFRR activates within 15 min; separate +/-. Connected to MARI cross-border platform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Procured by NESO, EFA blocks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Regelleistung.net (DE) / TenneT (NL), 4-hour blocks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DE/NL: pay-as-bid for aFRR/mFRR; UK: mostly pay-as-cleared</w:t>
            </w:r>
          </w:p>
        </w:tc>
      </w:tr>
    </w:tbl>
    <w:p>
      <w:pPr>
        <w:pStyle w:val="Heading2"/>
      </w:pPr>
      <w:r>
        <w:rPr>
          <w:color w:val="1F3864"/>
        </w:rPr>
        <w:t>9. Full Cost Summary — All Three Markets</w:t>
      </w:r>
    </w:p>
    <w:p>
      <w:pPr>
        <w:pStyle w:val="Heading3"/>
      </w:pPr>
      <w:r>
        <w:rPr>
          <w:color w:val="1F3864"/>
        </w:rPr>
        <w:t>Free Data Sources (sufficient for analytical dashboard)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Provided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Elexon BMRS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SSP, SBP, DA HH reference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NESO Data Portal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Ancillary clearing prices (all 7 services)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GridBeyond report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 wholesale + ancillary (bundled in aggregator fee)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SMARD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DA prices, generation mix, wholesale data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Netztransparenz.de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Imbalance price (reBAP)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Regelleistung.net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FCR/aFRR/mFRR tender results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ENTSO-E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Cross-border flows, load, generation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NL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TenneT API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Settlement prices, imbalance data, ancillary results</w:t>
            </w:r>
          </w:p>
        </w:tc>
        <w:tc>
          <w:tcPr>
            <w:tcW w:type="dxa" w:w="2351"/>
            <w:shd w:val="clear" w:color="auto" w:fill="E8EDF3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ENTSO-E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 prices, cross-border flows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FREE</w:t>
            </w:r>
          </w:p>
        </w:tc>
      </w:tr>
    </w:tbl>
    <w:p>
      <w:pPr>
        <w:pStyle w:val="Heading3"/>
      </w:pPr>
      <w:r>
        <w:rPr>
          <w:color w:val="1F3864"/>
        </w:rPr>
        <w:t>Paid Subscriptions (for real-time / direct feeds)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Subscription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Markets Covered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Annual Cost (approx.)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EPEX SPOT DE data package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Germany DA + Intraday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Quote required</w:t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EPEX SPOT NL data package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Netherlands DA + Intraday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Quote 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Nord Pool DE Day-Ahead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Germany DA 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~€1,200/year</w:t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Nord Pool DE Intraday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Germany intraday trades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~€5,000/year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Nord Pool NL bundle (FR/NL/AT/BE)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Netherlands DA 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~€1,700–3,300/year</w:t>
            </w:r>
          </w:p>
        </w:tc>
      </w:tr>
      <w:tr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Nord Pool Intraday (per market)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NL intraday trades</w:t>
            </w:r>
          </w:p>
        </w:tc>
        <w:tc>
          <w:tcPr>
            <w:tcW w:type="dxa" w:w="3135"/>
            <w:shd w:val="clear" w:color="auto" w:fill="E8EDF3"/>
          </w:tcPr>
          <w:p>
            <w:r>
              <w:rPr>
                <w:sz w:val="18"/>
              </w:rPr>
              <w:t>~€5,000/year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Modo Energy (benchmarking)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GB, DE, NL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~€8,000–60,000/year</w:t>
            </w:r>
          </w:p>
        </w:tc>
      </w:tr>
    </w:tbl>
    <w:p>
      <w:pPr>
        <w:pStyle w:val="Heading3"/>
      </w:pPr>
      <w:r>
        <w:rPr>
          <w:color w:val="1F3864"/>
        </w:rPr>
        <w:t>Cost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UK Cost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 Cost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NL Cost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(approx.)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Minimum (free sources only)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£0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£0 / €0</w:t>
            </w:r>
          </w:p>
        </w:tc>
      </w:tr>
      <w:tr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Standard (with aggregator)</w:t>
            </w:r>
          </w:p>
        </w:tc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£0 (GridBeyond)</w:t>
            </w:r>
          </w:p>
        </w:tc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Depends on aggregator</w:t>
            </w:r>
          </w:p>
        </w:tc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Depends on aggregator</w:t>
            </w:r>
          </w:p>
        </w:tc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With direct market feeds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~£5,300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~€6,200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~€6,700–8,300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~£18,000–20,000 equiv.</w:t>
            </w:r>
          </w:p>
        </w:tc>
      </w:tr>
      <w:tr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Full (feeds + benchmarking)</w:t>
            </w:r>
          </w:p>
        </w:tc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~£20,000</w:t>
            </w:r>
          </w:p>
        </w:tc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~€14,000–66,000</w:t>
            </w:r>
          </w:p>
        </w:tc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~€14,000–68,000</w:t>
            </w:r>
          </w:p>
        </w:tc>
        <w:tc>
          <w:tcPr>
            <w:tcW w:type="dxa" w:w="1881"/>
            <w:shd w:val="clear" w:color="auto" w:fill="E8EDF3"/>
          </w:tcPr>
          <w:p>
            <w:r>
              <w:rPr>
                <w:sz w:val="18"/>
              </w:rPr>
              <w:t>~£40,000–150,000 equiv.</w:t>
            </w:r>
          </w:p>
        </w:tc>
      </w:tr>
    </w:tbl>
    <w:p>
      <w:pPr>
        <w:pStyle w:val="Heading2"/>
      </w:pPr>
      <w:r>
        <w:rPr>
          <w:color w:val="1F3864"/>
        </w:rPr>
        <w:t>10. Dashboard Implementation Notes</w:t>
      </w:r>
    </w:p>
    <w:p>
      <w:pPr>
        <w:pStyle w:val="Heading3"/>
      </w:pPr>
      <w:r>
        <w:rPr>
          <w:color w:val="1F3864"/>
        </w:rPr>
        <w:t>Data Model Changes Required</w:t>
      </w:r>
    </w:p>
    <w:p>
      <w:pPr>
        <w:pStyle w:val="ListNumber"/>
      </w:pPr>
      <w:r>
        <w:rPr>
          <w:sz w:val="20"/>
        </w:rPr>
        <w:t>Settlement period: Must support both 30-min (UK) and 15-min (DE/NL) — 48 vs 96 periods/day</w:t>
      </w:r>
    </w:p>
    <w:p>
      <w:pPr>
        <w:pStyle w:val="ListNumber"/>
      </w:pPr>
      <w:r>
        <w:rPr>
          <w:sz w:val="20"/>
        </w:rPr>
        <w:t>Currency: GBP for UK, EUR for DE/NL — dashboard needs multi-currency support or conversion</w:t>
      </w:r>
    </w:p>
    <w:p>
      <w:pPr>
        <w:pStyle w:val="ListNumber"/>
      </w:pPr>
      <w:r>
        <w:rPr>
          <w:sz w:val="20"/>
        </w:rPr>
        <w:t>Ancillary module redesign: UK’s 7 frequency response products do not map 1:1 to DE/NL’s 5 products. The aFRR/mFRR energy activation payment does not exist in the UK model</w:t>
      </w:r>
    </w:p>
    <w:p>
      <w:pPr>
        <w:pStyle w:val="ListNumber"/>
      </w:pPr>
      <w:r>
        <w:rPr>
          <w:sz w:val="20"/>
        </w:rPr>
        <w:t>Imbalance module: UK dual pricing (SSP/SBP) vs DE single pricing (reBAP) vs NL hybrid — different logic per market</w:t>
      </w:r>
    </w:p>
    <w:p>
      <w:pPr>
        <w:pStyle w:val="ListNumber"/>
      </w:pPr>
      <w:r>
        <w:rPr>
          <w:sz w:val="20"/>
        </w:rPr>
        <w:t>Intraday auctions: UK has 1 IDA; DE/NL have 3 IDAs each</w:t>
      </w:r>
    </w:p>
    <w:p>
      <w:pPr>
        <w:pStyle w:val="Heading3"/>
      </w:pPr>
      <w:r>
        <w:rPr>
          <w:color w:val="1F3864"/>
        </w:rPr>
        <w:t>New Data Fields for DE/NL (not in current UK dashboard)</w:t>
      </w:r>
    </w:p>
    <w:p>
      <w:pPr>
        <w:pStyle w:val="ListBullet"/>
      </w:pPr>
      <w:r>
        <w:rPr>
          <w:sz w:val="20"/>
        </w:rPr>
        <w:t>aFRR energy activation price (€/MWh)</w:t>
      </w:r>
    </w:p>
    <w:p>
      <w:pPr>
        <w:pStyle w:val="ListBullet"/>
      </w:pPr>
      <w:r>
        <w:rPr>
          <w:sz w:val="20"/>
        </w:rPr>
        <w:t>mFRR energy activation price (€/MWh)</w:t>
      </w:r>
    </w:p>
    <w:p>
      <w:pPr>
        <w:pStyle w:val="ListBullet"/>
      </w:pPr>
      <w:r>
        <w:rPr>
          <w:sz w:val="20"/>
        </w:rPr>
        <w:t>Balance delta / system imbalance direction (for NL passive balancing)</w:t>
      </w:r>
    </w:p>
    <w:p>
      <w:pPr>
        <w:pStyle w:val="ListBullet"/>
      </w:pPr>
      <w:r>
        <w:rPr>
          <w:sz w:val="20"/>
        </w:rPr>
        <w:t>Cross-border flow data (significant price driver for NL due to high interconnection)</w:t>
      </w:r>
    </w:p>
    <w:p>
      <w:pPr>
        <w:pStyle w:val="ListBullet"/>
      </w:pPr>
      <w:r>
        <w:rPr>
          <w:sz w:val="20"/>
        </w:rPr>
        <w:t>Grid fees / network charges (significant cost line in NL; less impactful in UK/DE)</w:t>
      </w:r>
    </w:p>
    <w:p>
      <w:pPr>
        <w:pStyle w:val="Heading3"/>
      </w:pPr>
      <w:r>
        <w:rPr>
          <w:color w:val="1F3864"/>
        </w:rPr>
        <w:t>API Integration Priority</w:t>
      </w:r>
    </w:p>
    <w:p>
      <w:pPr>
        <w:pStyle w:val="ListNumber"/>
      </w:pPr>
      <w:r>
        <w:rPr>
          <w:sz w:val="20"/>
        </w:rPr>
        <w:t>SMARD (DE) — REST API, no auth, well-documented, Python library available</w:t>
      </w:r>
    </w:p>
    <w:p>
      <w:pPr>
        <w:pStyle w:val="ListNumber"/>
      </w:pPr>
      <w:r>
        <w:rPr>
          <w:sz w:val="20"/>
        </w:rPr>
        <w:t>TenneT API (NL) — REST API, token auth, good documentation</w:t>
      </w:r>
    </w:p>
    <w:p>
      <w:pPr>
        <w:pStyle w:val="ListNumber"/>
      </w:pPr>
      <w:r>
        <w:rPr>
          <w:sz w:val="20"/>
        </w:rPr>
        <w:t>ENTSO-E (both) — REST API, email for token, covers both markets</w:t>
      </w:r>
    </w:p>
    <w:p>
      <w:pPr>
        <w:pStyle w:val="ListNumber"/>
      </w:pPr>
      <w:r>
        <w:rPr>
          <w:sz w:val="20"/>
        </w:rPr>
        <w:t>Regelleistung.net (DE) — web data centre, free, no auth</w:t>
      </w:r>
    </w:p>
    <w:p>
      <w:pPr>
        <w:pStyle w:val="ListNumber"/>
      </w:pPr>
      <w:r>
        <w:rPr>
          <w:sz w:val="20"/>
        </w:rPr>
        <w:t>EPEX SPOT (both) — paid, for real-time feeds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