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UK Market Rate Data Subscriptions</w:t>
      </w:r>
    </w:p>
    <w:p>
      <w:r>
        <w:rPr>
          <w:b/>
          <w:sz w:val="20"/>
        </w:rPr>
        <w:t xml:space="preserve">Asset: </w:t>
      </w:r>
      <w:r>
        <w:rPr>
          <w:sz w:val="20"/>
        </w:rPr>
        <w:t>Northwold Solar Farm (Hall Farm) — 8.4 MWh / 7.5 MW BESS</w:t>
        <w:br/>
      </w:r>
      <w:r>
        <w:rPr>
          <w:b/>
          <w:sz w:val="20"/>
        </w:rPr>
        <w:t xml:space="preserve">Aggregator: </w:t>
      </w:r>
      <w:r>
        <w:rPr>
          <w:sz w:val="20"/>
        </w:rPr>
        <w:t>GridBeyond</w:t>
        <w:br/>
      </w:r>
      <w:r>
        <w:rPr>
          <w:b/>
          <w:sz w:val="20"/>
        </w:rPr>
        <w:t xml:space="preserve">Prepared: </w:t>
      </w:r>
      <w:r>
        <w:rPr>
          <w:sz w:val="20"/>
        </w:rPr>
        <w:t>February 2026</w:t>
        <w:br/>
      </w:r>
    </w:p>
    <w:p/>
    <w:p>
      <w:pPr>
        <w:pStyle w:val="Heading1"/>
      </w:pPr>
      <w:r>
        <w:rPr>
          <w:color w:val="1F3864"/>
        </w:rPr>
        <w:t>1. Wholesale Electricity Market Prices</w:t>
      </w:r>
    </w:p>
    <w:p>
      <w:pPr>
        <w:pStyle w:val="Heading3"/>
      </w:pPr>
      <w:r>
        <w:rPr>
          <w:color w:val="1F3864"/>
        </w:rPr>
        <w:t>1.1 EPEX Day-Ahead Auction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Next-day electricity price set via daily auction on EPEX SPOT exchange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Primary benchmark for arbitrage strategy — determines when to charge (low price) and discharge (high price)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 (48 values per day)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EPEX SPOT Market Data Services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Quote required (contact marketdata@epexspot.com)</w:t>
      </w:r>
    </w:p>
    <w:p>
      <w:pPr>
        <w:pStyle w:val="ListBullet"/>
      </w:pPr>
      <w:r>
        <w:rPr>
          <w:b/>
          <w:sz w:val="20"/>
        </w:rPr>
        <w:t xml:space="preserve">Free alternative: </w:t>
      </w:r>
      <w:r>
        <w:rPr>
          <w:sz w:val="20"/>
        </w:rPr>
        <w:t>Elexon BMRS Market Index Data (DA HH reference price)</w:t>
      </w:r>
    </w:p>
    <w:p>
      <w:pPr>
        <w:pStyle w:val="Heading3"/>
      </w:pPr>
      <w:r>
        <w:rPr>
          <w:color w:val="1F3864"/>
        </w:rPr>
        <w:t>1.2 EPEX 30-Minute Day-Ahead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EPEX SPOT 30-minute ahead product price — a shorter-horizon variant of the DA auction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Captures intra-day price movements closer to delivery; used for short-term dispatch decisions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EPEX SPOT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Quote required</w:t>
      </w:r>
    </w:p>
    <w:p>
      <w:pPr>
        <w:pStyle w:val="Heading3"/>
      </w:pPr>
      <w:r>
        <w:rPr>
          <w:color w:val="1F3864"/>
        </w:rPr>
        <w:t>1.3 GB-ISEM Intraday Auction 1 (IDA1)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Same-day auction price on the GB-ISEM (Integrated Single Electricity Market) intraday market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Second arbitrage opportunity — prices may differ from day-ahead, offering improved trading margins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EPEX SPOT / SEMOpx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Bundled with EPEX subscription</w:t>
      </w:r>
    </w:p>
    <w:p>
      <w:pPr>
        <w:pStyle w:val="Heading3"/>
      </w:pPr>
      <w:r>
        <w:rPr>
          <w:color w:val="1F3864"/>
        </w:rPr>
        <w:t>1.4 Intraday Continuous (IDC)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Continuous electronic trading price on EPEX intraday market — trades executed up to gate closure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Captures real-time price spikes and short-notice trading opportunities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 (aggregated from continuous trades)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EPEX SPOT / Nord Pool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Nord Pool Intraday: ~€5,000/year; EPEX: quote required</w:t>
      </w:r>
    </w:p>
    <w:p>
      <w:pPr>
        <w:pStyle w:val="Heading3"/>
      </w:pPr>
      <w:r>
        <w:rPr>
          <w:color w:val="1F3864"/>
        </w:rPr>
        <w:t>1.5 Day-Ahead Half-Hourly Reference Price (DA HH)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Elexon’s official day-ahead reference price — market index used in settlement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Independent benchmark for validating EPEX prices and used in optimisation engine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Elexon BMRS API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 (no authentication required)</w:t>
      </w:r>
    </w:p>
    <w:p>
      <w:pPr>
        <w:pStyle w:val="Heading3"/>
      </w:pPr>
      <w:r>
        <w:rPr>
          <w:color w:val="1F3864"/>
        </w:rPr>
        <w:t>1.6 System Sell Price (SSP)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the grid pays generators/batteries when the system is long (excess supply)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Determines revenue for unplanned exports; key input for imbalance analysis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Elexon BMRS API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1.7 System Buy Price (SBP)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batteries/generators pay when the system is short (deficit supply)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Determines cost of unplanned imports; critical for imbalance risk management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Elexon BMRS API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1"/>
      </w:pPr>
      <w:r>
        <w:rPr>
          <w:color w:val="1F3864"/>
        </w:rPr>
        <w:t>2. Ancillary Services Clearing Prices</w:t>
      </w:r>
    </w:p>
    <w:p>
      <w:r>
        <w:rPr>
          <w:i/>
          <w:sz w:val="20"/>
        </w:rPr>
        <w:t>All ancillary services below are procured by NESO (National Energy System Operator) via competitive tenders. Clearing prices determine the revenue rate per MW of availability provided.</w:t>
      </w:r>
    </w:p>
    <w:p>
      <w:pPr>
        <w:pStyle w:val="Heading3"/>
      </w:pPr>
      <w:r>
        <w:rPr>
          <w:color w:val="1F3864"/>
        </w:rPr>
        <w:t>2.1 Static Firm Frequency Response (SFFR)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Auction clearing price for providing continuous frequency support to the grid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SFFR is currently the largest single revenue stream for the asset — essential for strategy comparison (hold SFFR vs. trade wholesale)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 (6 blocks × 4 hours = 24 hours)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2.2 Dynamic Containment Low (DCL)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low-frequency containment response (grid frequency drops below 49.5 Hz)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DCL is a key revenue alternative to wholesale trading; pricing trends indicate market saturation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2.3 Dynamic Containment High (DCH)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high-frequency containment response (grid frequency rises above 50.5 Hz)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Paired with DCL — both needed to evaluate full DC revenue potential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2.4 Dynamic Modulation Low (DML)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enhanced frequency response at moderate deviations (below 49.75 Hz)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Newer product — tracks evolving ancillary services market and revenue diversification options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2.5 Dynamic Modulation High (DMH)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enhanced frequency response at moderate deviations (above 50.25 Hz)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Paired with DML for full DM evaluation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2.6 Dynamic Regulation Low (DRL)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continuous active power regulation for low-frequency events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Completes the frequency response product suite — needed for comprehensive ancillary revenue analysis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2.7 Dynamic Regulation High (DRH) Clearing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continuous active power regulation for high-frequency events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Paired with DRL for full DR evaluation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EFA block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£/MW/h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NESO Data Portal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1"/>
      </w:pPr>
      <w:r>
        <w:rPr>
          <w:color w:val="1F3864"/>
        </w:rPr>
        <w:t>3. Imbalance &amp; Settlement Data</w:t>
      </w:r>
    </w:p>
    <w:p>
      <w:pPr>
        <w:pStyle w:val="Heading3"/>
      </w:pPr>
      <w:r>
        <w:rPr>
          <w:color w:val="1F3864"/>
        </w:rPr>
        <w:t>3.1 Imbalance Settlement Prices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Half-hourly settlement prices applied to any energy volume that deviates from contracted position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Imbalance charges are a significant cost line — understanding exposure is critical for risk management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Half-hourly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£/MWh</w:t>
      </w:r>
    </w:p>
    <w:p>
      <w:pPr>
        <w:pStyle w:val="ListBullet"/>
      </w:pPr>
      <w:r>
        <w:rPr>
          <w:b/>
          <w:sz w:val="20"/>
        </w:rPr>
        <w:t xml:space="preserve">Current delivery: </w:t>
      </w:r>
      <w:r>
        <w:rPr>
          <w:sz w:val="20"/>
        </w:rPr>
        <w:t>Revenue and charges included in GridBeyond monthly report</w:t>
      </w:r>
    </w:p>
    <w:p>
      <w:pPr>
        <w:pStyle w:val="ListBullet"/>
      </w:pPr>
      <w:r>
        <w:rPr>
          <w:b/>
          <w:sz w:val="20"/>
        </w:rPr>
        <w:t xml:space="preserve">Direct source: </w:t>
      </w:r>
      <w:r>
        <w:rPr>
          <w:sz w:val="20"/>
        </w:rPr>
        <w:t>Elexon BMRS API (System Price data)</w:t>
      </w:r>
    </w:p>
    <w:p>
      <w:pPr>
        <w:pStyle w:val="ListBullet"/>
      </w:pPr>
      <w:r>
        <w:rPr>
          <w:b/>
          <w:sz w:val="20"/>
        </w:rPr>
        <w:t xml:space="preserve">Direct cost: </w:t>
      </w:r>
      <w:r>
        <w:rPr>
          <w:sz w:val="20"/>
        </w:rPr>
        <w:t>FREE</w:t>
      </w:r>
    </w:p>
    <w:p>
      <w:pPr>
        <w:pStyle w:val="Heading1"/>
      </w:pPr>
      <w:r>
        <w:rPr>
          <w:color w:val="1F3864"/>
        </w:rPr>
        <w:t>4. Benchmarking &amp; Analytics Subscriptions</w:t>
      </w:r>
    </w:p>
    <w:p>
      <w:pPr>
        <w:pStyle w:val="Heading3"/>
      </w:pPr>
      <w:r>
        <w:rPr>
          <w:color w:val="1F3864"/>
        </w:rPr>
        <w:t>4.1 Modo Energy — BESS Revenue Benchmarks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Third-party analytics platform providing GB BESS market indices, revenue benchmarks, and asset-level performance data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Enables comparison of Northwold performance against industry peers; provides TB spread indices (TB1, TB2, TB3) and revenue forecasts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Daily / Monthly reports</w:t>
      </w:r>
    </w:p>
    <w:p>
      <w:pPr>
        <w:pStyle w:val="ListBullet"/>
      </w:pPr>
      <w:r>
        <w:rPr>
          <w:b/>
          <w:sz w:val="20"/>
        </w:rPr>
        <w:t xml:space="preserve">Current status: </w:t>
      </w:r>
      <w:r>
        <w:rPr>
          <w:sz w:val="20"/>
        </w:rPr>
        <w:t>Referenced in dashboard benchmarks; not a live integration</w:t>
      </w:r>
    </w:p>
    <w:p>
      <w:pPr>
        <w:pStyle w:val="ListBullet"/>
      </w:pPr>
      <w:r>
        <w:rPr>
          <w:b/>
          <w:sz w:val="20"/>
        </w:rPr>
        <w:t xml:space="preserve">Cost tiers: </w:t>
      </w:r>
      <w:r>
        <w:rPr>
          <w:sz w:val="20"/>
        </w:rPr>
        <w:t>Free: limited overview | Plus: basic analytics | Pro: ~£8,000–£15,000/year | Business: ~£15,000–£30,000/year | Enterprise: ~£30,000–£60,000/year</w:t>
      </w:r>
    </w:p>
    <w:p>
      <w:pPr>
        <w:pStyle w:val="Heading3"/>
      </w:pPr>
      <w:r>
        <w:rPr>
          <w:color w:val="1F3864"/>
        </w:rPr>
        <w:t>4.2 Nord Pool — UK Day-Ahead &amp; Intraday Market Data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Alternative market data provider for GB day-ahead (N2EX) and intraday trading data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Potential direct feed if moving away from reliance on GridBeyond report; provides real-time and historical price data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Real-time / daily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~€1,200/year (UK Day-Ahead) + ~€5,000/year (Intraday Trades) = ~€6,200/year (~£5,300/year)</w:t>
      </w:r>
    </w:p>
    <w:p>
      <w:pPr>
        <w:pStyle w:val="ListBullet"/>
      </w:pPr>
      <w:r>
        <w:rPr>
          <w:b/>
          <w:sz w:val="20"/>
        </w:rPr>
        <w:t xml:space="preserve">Current status: </w:t>
      </w:r>
      <w:r>
        <w:rPr>
          <w:sz w:val="20"/>
        </w:rPr>
        <w:t>Not currently subscribed — data comes via GridBeyond</w:t>
      </w:r>
    </w:p>
    <w:p>
      <w:pPr>
        <w:pStyle w:val="Heading1"/>
      </w:pPr>
      <w:r>
        <w:rPr>
          <w:color w:val="1F3864"/>
        </w:rPr>
        <w:t>5. Cost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GridBeyond Monthly Report (all wholesale + ancillary data)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£0 (included in 5% revenue share)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Elexon BMRS API (SSP, SBP, DA HH, settlement)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£0 (free public API)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Available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NESO Data Portal (all ancillary clearing prices)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£0 (free public data)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Nord Pool (UK DA + Intraday direct feed)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~£5,300/year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EPEX SPOT (direct market data feed)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Quote required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Modo Energy (BESS benchmarking — Pro tier)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~£8,000–£15,000/year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(current operating cost)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£0/year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Total (with benchmarking + direct feeds)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£13,300–£20,300+/year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color w:val="1F3864"/>
        </w:rPr>
        <w:t>6. Notes</w:t>
      </w:r>
    </w:p>
    <w:p>
      <w:pPr>
        <w:pStyle w:val="ListNumber"/>
      </w:pPr>
      <w:r>
        <w:rPr>
          <w:sz w:val="20"/>
        </w:rPr>
        <w:t>GridBeyond is the primary data delivery mechanism — all 7 wholesale prices and 7 ancillary clearing prices arrive bundled in their monthly Excel report at no additional cost (covered by the 5% aggregator revenue share).</w:t>
      </w:r>
    </w:p>
    <w:p>
      <w:pPr>
        <w:pStyle w:val="ListNumber"/>
      </w:pPr>
      <w:r>
        <w:rPr>
          <w:sz w:val="20"/>
        </w:rPr>
        <w:t>Direct subscriptions become relevant if: moving to real-time or near-real-time dashboard updates; reducing dependency on GridBeyond for data accuracy/timeliness; implementing live trading decision support; or if the GridBeyond contract changes.</w:t>
      </w:r>
    </w:p>
    <w:p>
      <w:pPr>
        <w:pStyle w:val="ListNumber"/>
      </w:pPr>
      <w:r>
        <w:rPr>
          <w:sz w:val="20"/>
        </w:rPr>
        <w:t>Elexon BMRS and NESO are always free — these are public UK energy data platforms with open APIs, suitable for independent verification of GridBeyond data.</w:t>
      </w:r>
    </w:p>
    <w:p>
      <w:pPr>
        <w:pStyle w:val="ListNumber"/>
      </w:pPr>
      <w:r>
        <w:rPr>
          <w:sz w:val="20"/>
        </w:rPr>
        <w:t>Data lag consideration: GridBeyond reports arrive ~2 weeks after month-end. Direct API subscriptions would reduce this to near-real-time.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