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Arial" w:hAnsi="Arial"/>
          <w:b/>
          <w:i w:val="0"/>
          <w:sz w:val="28"/>
        </w:rPr>
        <w:t>Aankit Das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 w:val="0"/>
          <w:sz w:val="24"/>
        </w:rPr>
        <w:t>+1-945-527-2648</w:t>
      </w:r>
      <w:r>
        <w:rPr>
          <w:rFonts w:ascii="Arial" w:hAnsi="Arial"/>
          <w:b w:val="0"/>
          <w:i w:val="0"/>
          <w:sz w:val="24"/>
        </w:rPr>
        <w:t xml:space="preserve"> | </w:t>
      </w:r>
      <w:r>
        <w:rPr>
          <w:rFonts w:ascii="Arial" w:hAnsi="Arial"/>
          <w:b w:val="0"/>
          <w:i w:val="0"/>
          <w:sz w:val="24"/>
        </w:rPr>
        <w:t>aankitdas5@gmail.com</w:t>
      </w:r>
      <w:r>
        <w:rPr>
          <w:rFonts w:ascii="Arial" w:hAnsi="Arial"/>
          <w:b w:val="0"/>
          <w:i w:val="0"/>
          <w:sz w:val="24"/>
        </w:rPr>
        <w:t xml:space="preserve"> | </w:t>
      </w:r>
      <w:hyperlink r:id="rId9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LinkedIn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0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GitHub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1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Portfolio</w:t>
        </w:r>
      </w:hyperlink>
      <w:r>
        <w:rPr>
          <w:rFonts w:ascii="Arial" w:hAnsi="Arial"/>
          <w:b w:val="0"/>
          <w:i w:val="0"/>
          <w:sz w:val="24"/>
        </w:rPr>
        <w:t xml:space="preserve"> | </w:t>
      </w:r>
      <w:hyperlink r:id="rId12">
        <w:r>
          <w:rPr>
            <w:rFonts w:ascii="Arial" w:hAnsi="Arial"/>
            <w:b w:val="0"/>
            <w:i w:val="0"/>
            <w:color w:val="467886"/>
            <w:sz w:val="24"/>
            <w:u w:val="single"/>
          </w:rPr>
          <w:t>Scholar</w:t>
        </w:r>
      </w:hyperlink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i w:val="0"/>
          <w:sz w:val="24"/>
        </w:rPr>
        <w:t>On F1 OPT STEM, Eligible to work in the US without sponsorship | TX</w:t>
      </w:r>
    </w:p>
    <w:p>
      <w:pPr>
        <w:spacing w:before="0" w:after="0" w:line="360" w:lineRule="auto"/>
      </w:pP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Work History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AI Engineer at Bantrly, Dallas, TX</w:t>
        <w:tab/>
        <w:t>Mar 2026 to Present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the speech and language systems behind a K-12 learning app by turning student audio into text and scoring it against teaching rubrics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modular speech-to-text routing engine in Python and FastAPI that separated transcription from LLM scoring across 8 K-12 assessment modules, cutting audio API costs and improving rubric accuracy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two-layer voice activity detection pipeline combining silence-boundary audio chunking, timestamp deduplication, and a sliding guardrail text window, eliminating false positives during real-time streaming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provider-agnostic adapter registry across Parakeet TDT, Whisper, AssemblyAI, and Gemini with quality-based fallback and config-driven session health checks, letting engines swap with zero code changes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Evaluated neural text-to-speech engines pyttsx3, Kokoro, edge-tts, Chatterbox, and Chirp against a rubric of intelligibility, naturalness, pacing, and latency per K-12 grade band, producing cost-quality comparisons that guided engine selection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Designed an LLM-as-judge evaluation pipeline combining structured JSON output, retry logic, and cosine-similarity consistency scoring via nomic-embed-text embeddings across 468 controlled experiments on 3 open-source models, quantifying quality, consistency, and hallucination trade-offs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Machine Learning Researcher at University of Texas at Dallas, Richardson, TX</w:t>
        <w:tab/>
        <w:t>Jun 2025 to Mar 2026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and optimized neural network pipelines to extract clean signal from noisy space telescope data for an NSF-funded cosmology research project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Contributed to the CMB-ML open-source research organization, supporting ongoing cosmology and machine learning research toward a planned ICCV or CVPR submission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Processed and managed 1,600 high-resolution CMB simulated maps totaling 24GB across multiple splits for model training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a UNet-inspired encoder-decoder neural network architecture trained on modern GPUs in under 20 seconds per epoch to denoise and recover the angular power spectrum from simulated maps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Ran ablation studies across dropout, batch normalization, loss function variants, and activation functions, comparing MSE, normalized MSE, and Wishart losses alongside ReLU and GELU activations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Automated hyperparameter sweeps using Hydra and shell scripting to benchmark model performance across ells, detectors, and feature configurations at multiple resolutions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Research Assistant at University of Nebraska-Lincoln, Remote</w:t>
        <w:tab/>
        <w:t>May 2021 to Jun 2023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a machine learning segmentation model and benchmark dataset for tracking early plant growth from time-lapse images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Collaborated with international research teams to develop EmergeNet, a segmentation model for agricultural data that achieved 99.4 percent IoU against a 69 percent baseline for a standard UNet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Developed the UNL-MED benchmark dataset, curating top-view time-lapse images of maize coleoptiles from pre-emergence through roughly one inch of growth to evaluate EmergeNet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Applied optimization techniques to monitor maize coleoptile growth, reaching a 0.99 correlation between predicted and observed metrics and publishing the findings in Frontiers and an e-book</w:t>
      </w:r>
    </w:p>
    <w:p>
      <w:pPr>
        <w:spacing w:before="0" w:after="0" w:line="360" w:lineRule="auto"/>
      </w:pP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Research Assistant at Jadavpur University, Kolkata, WB</w:t>
        <w:tab/>
        <w:t>Apr 2020 to Aug 2021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Researched nature-inspired optimization algorithms for audio-based language identification, publishing the results in IEEE journals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Innovated nature-inspired meta-heuristic feature selection algorithms, BBA-LAHC and HS-NMR, for spoken language identification, achieving over 98 percent test accuracy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Published two IEEE journal papers documenting advances in NLP and audio signal processing research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Projects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Bantrly Lesson Generator, K-12 ELA Content Generation System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an AI system that generates K-12 speaking lessons by combining a large language model with rule-based checks for safety and quality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hybrid LLM and rule-based lesson generation system for K-12 ELA speaking practice, combining Groq inference, a CCSS-aligned 80-skill taxonomy, few-shot RAG, and a 9-step validated pipeline to produce structured, grade-appropriate lessons from three inputs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Designed multi-layer guardrails combining pre-generation input validation, post-generation content checks for vocabulary ceiling and cognitive load, and a cultural bias retry loop that fed flagged terms back into the prompt across up to 5 retries, ensuring no biased lesson was ever saved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Engineered a defensive validation pipeline for non-deterministic LLM output, auto-correcting three distinct practice field structures across model variants with reflect-stage normalization and domain-specific field stripping to ensure clean JSON regardless of model behavior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CCSS-aligned skill taxonomy of 80 skills across 4 grade bands and 4 domains with deterministic coverage tracking and cycling, replacing free-form LLM skill generation with controlled, measurable, progression-aware objectives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Deployed a 6-tab Gradio UI on Hugging Face Spaces combining a student-facing step-by-step lesson experience, a coverage heatmap, a skill taxonomy browser, and a guardrail inspector, giving every view live updates after each generation</w:t>
      </w:r>
    </w:p>
    <w:p>
      <w:pPr>
        <w:spacing w:before="0" w:after="0" w:line="360" w:lineRule="auto"/>
      </w:pP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/>
          <w:sz w:val="21"/>
        </w:rPr>
        <w:t>Document Intelligence Platform, Production RAG System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retrieval-augmented generation system that lets users ask questions in plain language and get answers grounded in their own documents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Engineered a production-grade retrieval-augmented generation system combining local embedding models Ollama and Sentence-Transformers, Chroma DB vector storage, and the Groq llama-3.1-8b-instant LLM API, delivering intelligent document question-answering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Designed a modular Python architecture of 5 independent modules, chunker, embeddings, vector store, llm, and pipeline, improving testability and maintainability aligned with software engineering best practices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Built a semantic chunking pipeline with 500-token chunks and 50-token overlap, using PyPDF2 extraction to generate 768-dimensional embeddings for cosine similarity retrieval under 10ms latency on over 100 document chunks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Demonstrated a cost-optimization strategy, pairing local embeddings for privacy and efficiency with free-tier LLM APIs for fast inference and persistent vector storage for retrieval performance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Education &amp; Certificates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MS, Computer Engineering, University of Texas at Dallas (GPA - 3.8/4.0)</w:t>
        <w:tab/>
        <w:t>May 2025</w:t>
      </w:r>
    </w:p>
    <w:p>
      <w:pPr>
        <w:tabs>
          <w:tab w:pos="10800" w:val="right"/>
        </w:tabs>
        <w:spacing w:before="0" w:after="0" w:line="360" w:lineRule="auto"/>
        <w:jc w:val="left"/>
      </w:pPr>
      <w:r>
        <w:rPr>
          <w:rFonts w:ascii="Arial" w:hAnsi="Arial"/>
          <w:b w:val="0"/>
          <w:i w:val="0"/>
          <w:sz w:val="21"/>
        </w:rPr>
        <w:t>• BTech, Electronics and Communication Engineering, University of Calcutta (GPA - 3.7/4.0)</w:t>
        <w:tab/>
        <w:t>Sept 2020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>Publications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A hybrid meta-heuristic feature selection method for identification of Indian spoken languages from audio signals. IEEE Access.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EmergeNet: A novel deep-learning based ensemble segmentation model for emergence timing detection of coleoptile. Frontiers in Plant Science.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Hybrid feature selection method based on harmony search and naked mole-rat algorithms for spoken language identification from audio signals. IEEE Access.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i w:val="0"/>
          <w:sz w:val="21"/>
        </w:rPr>
        <w:t xml:space="preserve">• Das, A. </w:t>
      </w:r>
      <w:r>
        <w:rPr>
          <w:rFonts w:ascii="Arial" w:hAnsi="Arial"/>
          <w:b w:val="0"/>
          <w:i w:val="0"/>
          <w:sz w:val="21"/>
        </w:rPr>
        <w:t>Flowerphenonet: Automated flower detection from multi-view image sequences using deep neural networks for temporal plant phenotyping analysis. MDPI.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ankitdas/" TargetMode="External"/><Relationship Id="rId10" Type="http://schemas.openxmlformats.org/officeDocument/2006/relationships/hyperlink" Target="https://github.com/aankitdas" TargetMode="External"/><Relationship Id="rId11" Type="http://schemas.openxmlformats.org/officeDocument/2006/relationships/hyperlink" Target="https://aankitdas.github.io/" TargetMode="External"/><Relationship Id="rId12" Type="http://schemas.openxmlformats.org/officeDocument/2006/relationships/hyperlink" Target="https://scholar.google.com/citations?user=bUYJFM8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