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Arial" w:hAnsi="Arial"/>
          <w:b/>
          <w:i w:val="0"/>
          <w:sz w:val="28"/>
        </w:rPr>
        <w:t>Aankit Das</w:t>
      </w:r>
    </w:p>
    <w:p>
      <w:pPr>
        <w:spacing w:before="0" w:after="0" w:line="276" w:lineRule="auto"/>
        <w:jc w:val="center"/>
      </w:pPr>
      <w:r>
        <w:rPr>
          <w:rFonts w:ascii="Arial" w:hAnsi="Arial"/>
          <w:b w:val="0"/>
          <w:i w:val="0"/>
          <w:sz w:val="24"/>
        </w:rPr>
        <w:t>+1-945-527-2648</w:t>
      </w:r>
      <w:r>
        <w:rPr>
          <w:rFonts w:ascii="Arial" w:hAnsi="Arial"/>
          <w:b w:val="0"/>
          <w:i w:val="0"/>
          <w:sz w:val="24"/>
        </w:rPr>
        <w:t xml:space="preserve"> | </w:t>
      </w:r>
      <w:r>
        <w:rPr>
          <w:rFonts w:ascii="Arial" w:hAnsi="Arial"/>
          <w:b w:val="0"/>
          <w:i w:val="0"/>
          <w:sz w:val="24"/>
        </w:rPr>
        <w:t>aankitdas5@gmail.com</w:t>
      </w:r>
      <w:r>
        <w:rPr>
          <w:rFonts w:ascii="Arial" w:hAnsi="Arial"/>
          <w:b w:val="0"/>
          <w:i w:val="0"/>
          <w:sz w:val="24"/>
        </w:rPr>
        <w:t xml:space="preserve"> | </w:t>
      </w:r>
      <w:hyperlink r:id="rId9">
        <w:r>
          <w:rPr>
            <w:rFonts w:ascii="Arial" w:hAnsi="Arial"/>
            <w:b w:val="0"/>
            <w:i w:val="0"/>
            <w:color w:val="467886"/>
            <w:sz w:val="24"/>
            <w:u w:val="single"/>
          </w:rPr>
          <w:t>LinkedIn</w:t>
        </w:r>
      </w:hyperlink>
      <w:r>
        <w:rPr>
          <w:rFonts w:ascii="Arial" w:hAnsi="Arial"/>
          <w:b w:val="0"/>
          <w:i w:val="0"/>
          <w:sz w:val="24"/>
        </w:rPr>
        <w:t xml:space="preserve"> | </w:t>
      </w:r>
      <w:hyperlink r:id="rId10">
        <w:r>
          <w:rPr>
            <w:rFonts w:ascii="Arial" w:hAnsi="Arial"/>
            <w:b w:val="0"/>
            <w:i w:val="0"/>
            <w:color w:val="467886"/>
            <w:sz w:val="24"/>
            <w:u w:val="single"/>
          </w:rPr>
          <w:t>GitHub</w:t>
        </w:r>
      </w:hyperlink>
      <w:r>
        <w:rPr>
          <w:rFonts w:ascii="Arial" w:hAnsi="Arial"/>
          <w:b w:val="0"/>
          <w:i w:val="0"/>
          <w:sz w:val="24"/>
        </w:rPr>
        <w:t xml:space="preserve"> | </w:t>
      </w:r>
      <w:hyperlink r:id="rId11">
        <w:r>
          <w:rPr>
            <w:rFonts w:ascii="Arial" w:hAnsi="Arial"/>
            <w:b w:val="0"/>
            <w:i w:val="0"/>
            <w:color w:val="467886"/>
            <w:sz w:val="24"/>
            <w:u w:val="single"/>
          </w:rPr>
          <w:t>Portfolio</w:t>
        </w:r>
      </w:hyperlink>
      <w:r>
        <w:rPr>
          <w:rFonts w:ascii="Arial" w:hAnsi="Arial"/>
          <w:b w:val="0"/>
          <w:i w:val="0"/>
          <w:sz w:val="24"/>
        </w:rPr>
        <w:t xml:space="preserve"> | </w:t>
      </w:r>
      <w:hyperlink r:id="rId12">
        <w:r>
          <w:rPr>
            <w:rFonts w:ascii="Arial" w:hAnsi="Arial"/>
            <w:b w:val="0"/>
            <w:i w:val="0"/>
            <w:color w:val="467886"/>
            <w:sz w:val="24"/>
            <w:u w:val="single"/>
          </w:rPr>
          <w:t>Scholar</w:t>
        </w:r>
      </w:hyperlink>
    </w:p>
    <w:p>
      <w:pPr>
        <w:spacing w:before="0" w:after="0" w:line="276" w:lineRule="auto"/>
        <w:jc w:val="center"/>
      </w:pPr>
      <w:r>
        <w:rPr>
          <w:rFonts w:ascii="Arial" w:hAnsi="Arial"/>
          <w:b w:val="0"/>
          <w:i w:val="0"/>
          <w:sz w:val="24"/>
        </w:rPr>
        <w:t>On F1 OPT STEM, Eligible to work in the US without sponsorship | TX</w:t>
      </w:r>
    </w:p>
    <w:p>
      <w:pPr>
        <w:spacing w:before="0" w:after="0" w:line="360" w:lineRule="auto"/>
      </w:pPr>
    </w:p>
    <w:p>
      <w:pPr>
        <w:spacing w:before="0" w:after="0" w:line="360" w:lineRule="auto"/>
        <w:jc w:val="left"/>
      </w:pPr>
      <w:r>
        <w:rPr>
          <w:rFonts w:ascii="Arial" w:hAnsi="Arial"/>
          <w:b/>
          <w:i w:val="0"/>
          <w:sz w:val="21"/>
        </w:rPr>
        <w:t>Work History</w:t>
      </w:r>
    </w:p>
    <w:p>
      <w:pPr>
        <w:tabs>
          <w:tab w:pos="10800" w:val="right"/>
        </w:tabs>
        <w:spacing w:before="0" w:after="0" w:line="360" w:lineRule="auto"/>
        <w:jc w:val="left"/>
      </w:pPr>
      <w:r>
        <w:rPr>
          <w:rFonts w:ascii="Arial" w:hAnsi="Arial"/>
          <w:b w:val="0"/>
          <w:i/>
          <w:sz w:val="21"/>
        </w:rPr>
        <w:t>AI Engineer at Bantrly, Dallas, TX</w:t>
        <w:tab/>
        <w:t>Mar 2026 to Present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Built the speech and language systems behind a K-12 learning app by turning student audio into text and scoring it against teaching rubrics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Evaluated neural text-to-speech engines pyttsx3, Kokoro, edge-tts, Chatterbox, and Chirp against a rubric of intelligibility, naturalness, pacing, and latency per K-12 grade band, producing cost-quality comparisons that guided engine selection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Designed an LLM-as-judge evaluation pipeline combining structured JSON output, retry logic, and cosine-similarity consistency scoring via nomic-embed-text embeddings across 468 controlled experiments on 3 open-source models, quantifying quality, consistency, and hallucination trade-offs</w:t>
      </w:r>
    </w:p>
    <w:p>
      <w:pPr>
        <w:spacing w:before="0" w:after="0" w:line="360" w:lineRule="auto"/>
      </w:pPr>
    </w:p>
    <w:p>
      <w:pPr>
        <w:tabs>
          <w:tab w:pos="10800" w:val="right"/>
        </w:tabs>
        <w:spacing w:before="0" w:after="0" w:line="360" w:lineRule="auto"/>
        <w:jc w:val="left"/>
      </w:pPr>
      <w:r>
        <w:rPr>
          <w:rFonts w:ascii="Arial" w:hAnsi="Arial"/>
          <w:b w:val="0"/>
          <w:i/>
          <w:sz w:val="21"/>
        </w:rPr>
        <w:t>Machine Learning Researcher at University of Texas at Dallas, Richardson, TX</w:t>
        <w:tab/>
        <w:t>Jun 2025 to Mar 2026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Built and optimized neural network pipelines to extract clean signal from noisy space telescope data for an NSF-funded cosmology research project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Contributed to the CMB-ML open-source research organization, supporting ongoing cosmology and machine learning research toward a planned ICCV or CVPR submission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Processed and managed 1,600 high-resolution CMB simulated maps totaling 24GB across multiple splits for model training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Ran ablation studies across dropout, batch normalization, loss function variants, and activation functions, comparing MSE, normalized MSE, and Wishart losses alongside ReLU and GELU activations</w:t>
      </w:r>
    </w:p>
    <w:p>
      <w:pPr>
        <w:spacing w:before="0" w:after="0" w:line="360" w:lineRule="auto"/>
      </w:pPr>
    </w:p>
    <w:p>
      <w:pPr>
        <w:tabs>
          <w:tab w:pos="10800" w:val="right"/>
        </w:tabs>
        <w:spacing w:before="0" w:after="0" w:line="360" w:lineRule="auto"/>
        <w:jc w:val="left"/>
      </w:pPr>
      <w:r>
        <w:rPr>
          <w:rFonts w:ascii="Arial" w:hAnsi="Arial"/>
          <w:b w:val="0"/>
          <w:i/>
          <w:sz w:val="21"/>
        </w:rPr>
        <w:t>Data Scientist at SEI Investments Company, Kolkata, WB</w:t>
        <w:tab/>
        <w:t>Oct 2021 to Aug 2023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Built automation tools and data workflows for a financial services team, turning manual document and reconciliation processes into faster digital systems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Developed a Python-based prototype for automating document-filling using NLP libraries and OCR technology, reducing manual processing by 50 percent and improving data availability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Architected a reconciliation workflow for diverse investor profiles using Alteryx, boosting efficiency and integration across cross-functional teams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Implemented error-handling mechanisms and documented the algorithm design, implementation steps, and performance metrics, improving reliability and knowledge sharing across the team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Built Tableau dashboards for large-scale datasets, giving business stakeholders actionable insights for decision-making</w:t>
      </w:r>
    </w:p>
    <w:p>
      <w:pPr>
        <w:spacing w:before="0" w:after="0" w:line="360" w:lineRule="auto"/>
      </w:pPr>
    </w:p>
    <w:p>
      <w:pPr>
        <w:tabs>
          <w:tab w:pos="10800" w:val="right"/>
        </w:tabs>
        <w:spacing w:before="0" w:after="0" w:line="360" w:lineRule="auto"/>
        <w:jc w:val="left"/>
      </w:pPr>
      <w:r>
        <w:rPr>
          <w:rFonts w:ascii="Arial" w:hAnsi="Arial"/>
          <w:b w:val="0"/>
          <w:i/>
          <w:sz w:val="21"/>
        </w:rPr>
        <w:t>Research Assistant at University of Nebraska-Lincoln, Remote</w:t>
        <w:tab/>
        <w:t>May 2021 to Jun 2023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Developed a machine learning segmentation model and benchmark dataset for tracking early plant growth from time-lapse images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Collaborated with international research teams to develop EmergeNet, a segmentation model for agricultural data that achieved 99.4 percent IoU against a 69 percent baseline for a standard UNet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Developed the UNL-MED benchmark dataset, curating top-view time-lapse images of maize coleoptiles from pre-emergence through roughly one inch of growth to evaluate EmergeNet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Applied optimization techniques to monitor maize coleoptile growth, reaching a 0.99 correlation between predicted and observed metrics and publishing the findings in Frontiers and an e-book</w:t>
      </w:r>
    </w:p>
    <w:p>
      <w:pPr>
        <w:spacing w:before="0" w:after="0" w:line="360" w:lineRule="auto"/>
      </w:pPr>
    </w:p>
    <w:p>
      <w:pPr>
        <w:tabs>
          <w:tab w:pos="10800" w:val="right"/>
        </w:tabs>
        <w:spacing w:before="0" w:after="0" w:line="360" w:lineRule="auto"/>
        <w:jc w:val="left"/>
      </w:pPr>
      <w:r>
        <w:rPr>
          <w:rFonts w:ascii="Arial" w:hAnsi="Arial"/>
          <w:b w:val="0"/>
          <w:i/>
          <w:sz w:val="21"/>
        </w:rPr>
        <w:t>Research Assistant at Jadavpur University, Kolkata, WB</w:t>
        <w:tab/>
        <w:t>Apr 2020 to Aug 2021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Researched nature-inspired optimization algorithms for audio-based language identification, publishing the results in IEEE journals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Innovated nature-inspired meta-heuristic feature selection algorithms, BBA-LAHC and HS-NMR, for spoken language identification, achieving over 98 percent test accuracy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Published two IEEE journal papers documenting advances in NLP and audio signal processing research</w:t>
      </w:r>
    </w:p>
    <w:p>
      <w:pPr>
        <w:spacing w:before="0" w:after="0" w:line="360" w:lineRule="auto"/>
        <w:jc w:val="left"/>
      </w:pPr>
      <w:r>
        <w:rPr>
          <w:rFonts w:ascii="Arial" w:hAnsi="Arial"/>
          <w:b/>
          <w:i w:val="0"/>
          <w:sz w:val="21"/>
        </w:rPr>
        <w:t>Projects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/>
          <w:sz w:val="21"/>
        </w:rPr>
        <w:t>Document Intelligence Platform, Production RAG System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Built a retrieval-augmented generation system that lets users ask questions in plain language and get answers grounded in their own documents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Built a semantic chunking pipeline with 500-token chunks and 50-token overlap, using PyPDF2 extraction to generate 768-dimensional embeddings for cosine similarity retrieval under 10ms latency on over 100 document chunks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Demonstrated a cost-optimization strategy, pairing local embeddings for privacy and efficiency with free-tier LLM APIs for fast inference and persistent vector storage for retrieval performance</w:t>
      </w:r>
    </w:p>
    <w:p>
      <w:pPr>
        <w:spacing w:before="0" w:after="0" w:line="360" w:lineRule="auto"/>
        <w:jc w:val="left"/>
      </w:pPr>
      <w:r>
        <w:rPr>
          <w:rFonts w:ascii="Arial" w:hAnsi="Arial"/>
          <w:b/>
          <w:i w:val="0"/>
          <w:sz w:val="21"/>
        </w:rPr>
        <w:t>Education &amp; Certificates</w:t>
      </w:r>
    </w:p>
    <w:p>
      <w:pPr>
        <w:tabs>
          <w:tab w:pos="10800" w:val="right"/>
        </w:tabs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MS, Computer Engineering, University of Texas at Dallas (GPA - 3.8/4.0)</w:t>
        <w:tab/>
        <w:t>May 2025</w:t>
      </w:r>
    </w:p>
    <w:p>
      <w:pPr>
        <w:tabs>
          <w:tab w:pos="10800" w:val="right"/>
        </w:tabs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BTech, Electronics and Communication Engineering, University of Calcutta (GPA - 3.7/4.0)</w:t>
        <w:tab/>
        <w:t>Sept 2020</w:t>
      </w:r>
    </w:p>
    <w:p>
      <w:pPr>
        <w:spacing w:before="0" w:after="0" w:line="360" w:lineRule="auto"/>
        <w:jc w:val="left"/>
      </w:pPr>
      <w:r>
        <w:rPr>
          <w:rFonts w:ascii="Arial" w:hAnsi="Arial"/>
          <w:b/>
          <w:i w:val="0"/>
          <w:sz w:val="21"/>
        </w:rPr>
        <w:t>Publications</w:t>
      </w:r>
    </w:p>
    <w:p>
      <w:pPr>
        <w:spacing w:before="0" w:after="0" w:line="360" w:lineRule="auto"/>
        <w:jc w:val="left"/>
      </w:pPr>
      <w:r>
        <w:rPr>
          <w:rFonts w:ascii="Arial" w:hAnsi="Arial"/>
          <w:b/>
          <w:i w:val="0"/>
          <w:sz w:val="21"/>
        </w:rPr>
        <w:t xml:space="preserve">• Das, A. </w:t>
      </w:r>
      <w:r>
        <w:rPr>
          <w:rFonts w:ascii="Arial" w:hAnsi="Arial"/>
          <w:b w:val="0"/>
          <w:i w:val="0"/>
          <w:sz w:val="21"/>
        </w:rPr>
        <w:t>A hybrid meta-heuristic feature selection method for identification of Indian spoken languages from audio signals. IEEE Access.</w:t>
      </w:r>
    </w:p>
    <w:p>
      <w:pPr>
        <w:spacing w:before="0" w:after="0" w:line="360" w:lineRule="auto"/>
        <w:jc w:val="left"/>
      </w:pPr>
      <w:r>
        <w:rPr>
          <w:rFonts w:ascii="Arial" w:hAnsi="Arial"/>
          <w:b/>
          <w:i w:val="0"/>
          <w:sz w:val="21"/>
        </w:rPr>
        <w:t xml:space="preserve">• Das, A. </w:t>
      </w:r>
      <w:r>
        <w:rPr>
          <w:rFonts w:ascii="Arial" w:hAnsi="Arial"/>
          <w:b w:val="0"/>
          <w:i w:val="0"/>
          <w:sz w:val="21"/>
        </w:rPr>
        <w:t>EmergeNet: A novel deep-learning based ensemble segmentation model for emergence timing detection of coleoptile. Frontiers in Plant Science.</w:t>
      </w:r>
    </w:p>
    <w:p>
      <w:pPr>
        <w:spacing w:before="0" w:after="0" w:line="360" w:lineRule="auto"/>
        <w:jc w:val="left"/>
      </w:pPr>
      <w:r>
        <w:rPr>
          <w:rFonts w:ascii="Arial" w:hAnsi="Arial"/>
          <w:b/>
          <w:i w:val="0"/>
          <w:sz w:val="21"/>
        </w:rPr>
        <w:t xml:space="preserve">• Das, A. </w:t>
      </w:r>
      <w:r>
        <w:rPr>
          <w:rFonts w:ascii="Arial" w:hAnsi="Arial"/>
          <w:b w:val="0"/>
          <w:i w:val="0"/>
          <w:sz w:val="21"/>
        </w:rPr>
        <w:t>Hybrid feature selection method based on harmony search and naked mole-rat algorithms for spoken language identification from audio signals. IEEE Access.</w:t>
      </w:r>
    </w:p>
    <w:p>
      <w:pPr>
        <w:spacing w:before="0" w:after="0" w:line="360" w:lineRule="auto"/>
        <w:jc w:val="left"/>
      </w:pPr>
      <w:r>
        <w:rPr>
          <w:rFonts w:ascii="Arial" w:hAnsi="Arial"/>
          <w:b/>
          <w:i w:val="0"/>
          <w:sz w:val="21"/>
        </w:rPr>
        <w:t xml:space="preserve">• Das, A. </w:t>
      </w:r>
      <w:r>
        <w:rPr>
          <w:rFonts w:ascii="Arial" w:hAnsi="Arial"/>
          <w:b w:val="0"/>
          <w:i w:val="0"/>
          <w:sz w:val="21"/>
        </w:rPr>
        <w:t>Flowerphenonet: Automated flower detection from multi-view image sequences using deep neural networks for temporal plant phenotyping analysis. MDPI.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aankitdas/" TargetMode="External"/><Relationship Id="rId10" Type="http://schemas.openxmlformats.org/officeDocument/2006/relationships/hyperlink" Target="https://github.com/aankitdas" TargetMode="External"/><Relationship Id="rId11" Type="http://schemas.openxmlformats.org/officeDocument/2006/relationships/hyperlink" Target="https://aankitdas.github.io/" TargetMode="External"/><Relationship Id="rId12" Type="http://schemas.openxmlformats.org/officeDocument/2006/relationships/hyperlink" Target="https://scholar.google.com/citations?user=bUYJFM8AAAAJ&amp;hl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