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Extensive margin: the decision whether or not to work at all</w:t>
      </w:r>
    </w:p>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Intensive margin: the decision of how many hours (or weeks) to work, given that you’ve decided to work at all</w:t>
      </w:r>
    </w:p>
    <w:p w:rsidR="00B67D18" w:rsidRDefault="00B67D18" w:rsidP="00B67D18">
      <w:pPr>
        <w:rPr>
          <w:rFonts w:asciiTheme="minorHAnsi" w:hAnsiTheme="minorHAnsi" w:cstheme="minorBidi"/>
          <w:color w:val="1F497D"/>
          <w:sz w:val="22"/>
          <w:szCs w:val="22"/>
        </w:rPr>
      </w:pPr>
    </w:p>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 xml:space="preserve">This question of whether marginal income taxes (or real wages, which are the main determinant of returns from work) affects labor supply matters for getting our model right—we want the model to be right if we want to use </w:t>
      </w:r>
      <w:r w:rsidR="0011473F">
        <w:rPr>
          <w:rFonts w:asciiTheme="minorHAnsi" w:hAnsiTheme="minorHAnsi" w:cstheme="minorBidi"/>
          <w:color w:val="1F497D"/>
          <w:sz w:val="22"/>
          <w:szCs w:val="22"/>
        </w:rPr>
        <w:t xml:space="preserve">it </w:t>
      </w:r>
      <w:r>
        <w:rPr>
          <w:rFonts w:asciiTheme="minorHAnsi" w:hAnsiTheme="minorHAnsi" w:cstheme="minorBidi"/>
          <w:color w:val="1F497D"/>
          <w:sz w:val="22"/>
          <w:szCs w:val="22"/>
        </w:rPr>
        <w:t>to do economic forecasting as business people, or if we want to forecast the effect of a policy on government debt or revenue collection either as policymakers or as voters, or if we are just intellectually curious and want to understand behavior.</w:t>
      </w:r>
    </w:p>
    <w:p w:rsidR="00B67D18" w:rsidRDefault="00B67D18" w:rsidP="00B67D18">
      <w:pPr>
        <w:rPr>
          <w:rFonts w:asciiTheme="minorHAnsi" w:hAnsiTheme="minorHAnsi" w:cstheme="minorBidi"/>
          <w:color w:val="1F497D"/>
          <w:sz w:val="22"/>
          <w:szCs w:val="22"/>
        </w:rPr>
      </w:pPr>
    </w:p>
    <w:p w:rsidR="0011473F"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It turns out that the data aren’t definitively telling us anything about how much tax</w:t>
      </w:r>
      <w:r w:rsidR="0011473F">
        <w:rPr>
          <w:rFonts w:asciiTheme="minorHAnsi" w:hAnsiTheme="minorHAnsi" w:cstheme="minorBidi"/>
          <w:color w:val="1F497D"/>
          <w:sz w:val="22"/>
          <w:szCs w:val="22"/>
        </w:rPr>
        <w:t>es</w:t>
      </w:r>
      <w:r>
        <w:rPr>
          <w:rFonts w:asciiTheme="minorHAnsi" w:hAnsiTheme="minorHAnsi" w:cstheme="minorBidi"/>
          <w:color w:val="1F497D"/>
          <w:sz w:val="22"/>
          <w:szCs w:val="22"/>
        </w:rPr>
        <w:t xml:space="preserve"> distort behavior. The most obvious and careless look at the data would suggest there is no meaningful impact of after-tax real wages on the decision to work over the long run—US after-tax real wages are 8 times higher than they were after World War II and yet the work week is no higher (it hasn’t encouraged more work) and the change in labor force participation rate for men has actually fallen (hasn’t encouraged more work).  </w:t>
      </w:r>
      <w:r w:rsidR="0011473F">
        <w:rPr>
          <w:rFonts w:asciiTheme="minorHAnsi" w:hAnsiTheme="minorHAnsi" w:cstheme="minorBidi"/>
          <w:color w:val="1F497D"/>
          <w:sz w:val="22"/>
          <w:szCs w:val="22"/>
        </w:rPr>
        <w:t>Changes in marginal income tax rates over time are tiny compared to those real wage changes, so if we can’t see anything obvious in the data from real wage changes maybe nothing is there.</w:t>
      </w:r>
    </w:p>
    <w:p w:rsidR="0011473F" w:rsidRDefault="0011473F" w:rsidP="00B67D18">
      <w:pPr>
        <w:rPr>
          <w:rFonts w:asciiTheme="minorHAnsi" w:hAnsiTheme="minorHAnsi" w:cstheme="minorBidi"/>
          <w:color w:val="1F497D"/>
          <w:sz w:val="22"/>
          <w:szCs w:val="22"/>
        </w:rPr>
      </w:pPr>
    </w:p>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Of course, as soon as you read that you likely think “</w:t>
      </w:r>
      <w:r w:rsidR="0011473F">
        <w:rPr>
          <w:rFonts w:asciiTheme="minorHAnsi" w:hAnsiTheme="minorHAnsi" w:cstheme="minorBidi"/>
          <w:color w:val="1F497D"/>
          <w:sz w:val="22"/>
          <w:szCs w:val="22"/>
        </w:rPr>
        <w:t xml:space="preserve">male </w:t>
      </w:r>
      <w:r>
        <w:rPr>
          <w:rFonts w:asciiTheme="minorHAnsi" w:hAnsiTheme="minorHAnsi" w:cstheme="minorBidi"/>
          <w:color w:val="1F497D"/>
          <w:sz w:val="22"/>
          <w:szCs w:val="22"/>
        </w:rPr>
        <w:t xml:space="preserve">labor force participation </w:t>
      </w:r>
      <w:r w:rsidR="0011473F">
        <w:rPr>
          <w:rFonts w:asciiTheme="minorHAnsi" w:hAnsiTheme="minorHAnsi" w:cstheme="minorBidi"/>
          <w:color w:val="1F497D"/>
          <w:sz w:val="22"/>
          <w:szCs w:val="22"/>
        </w:rPr>
        <w:t>rates have fallen a lot because of more schooling so that might be covering up the response of work effort to real wages</w:t>
      </w:r>
      <w:r>
        <w:rPr>
          <w:rFonts w:asciiTheme="minorHAnsi" w:hAnsiTheme="minorHAnsi" w:cstheme="minorBidi"/>
          <w:color w:val="1F497D"/>
          <w:sz w:val="22"/>
          <w:szCs w:val="22"/>
        </w:rPr>
        <w:t xml:space="preserve">” and you </w:t>
      </w:r>
      <w:r w:rsidR="0011473F">
        <w:rPr>
          <w:rFonts w:asciiTheme="minorHAnsi" w:hAnsiTheme="minorHAnsi" w:cstheme="minorBidi"/>
          <w:color w:val="1F497D"/>
          <w:sz w:val="22"/>
          <w:szCs w:val="22"/>
        </w:rPr>
        <w:t>would be</w:t>
      </w:r>
      <w:r>
        <w:rPr>
          <w:rFonts w:asciiTheme="minorHAnsi" w:hAnsiTheme="minorHAnsi" w:cstheme="minorBidi"/>
          <w:color w:val="1F497D"/>
          <w:sz w:val="22"/>
          <w:szCs w:val="22"/>
        </w:rPr>
        <w:t xml:space="preserve"> right—so a nice test would be to compare different countries that all had the same cultural shifts (women entering the workforce) and education shifts, but different tax rates, and see if the tax rates explain anything. </w:t>
      </w:r>
      <w:r w:rsidR="0011473F">
        <w:rPr>
          <w:rFonts w:asciiTheme="minorHAnsi" w:hAnsiTheme="minorHAnsi" w:cstheme="minorBidi"/>
          <w:color w:val="1F497D"/>
          <w:sz w:val="22"/>
          <w:szCs w:val="22"/>
        </w:rPr>
        <w:t xml:space="preserve"> That is what Prescott (and others not mentioned in the IVQ’s) do.</w:t>
      </w:r>
    </w:p>
    <w:p w:rsidR="00B67D18" w:rsidRDefault="00B67D18" w:rsidP="00B67D18">
      <w:pPr>
        <w:rPr>
          <w:rFonts w:asciiTheme="minorHAnsi" w:hAnsiTheme="minorHAnsi" w:cstheme="minorBidi"/>
          <w:color w:val="1F497D"/>
          <w:sz w:val="22"/>
          <w:szCs w:val="22"/>
        </w:rPr>
      </w:pPr>
    </w:p>
    <w:p w:rsidR="00B67D18" w:rsidRDefault="0011473F" w:rsidP="00B67D18">
      <w:pPr>
        <w:rPr>
          <w:rFonts w:asciiTheme="minorHAnsi" w:hAnsiTheme="minorHAnsi" w:cstheme="minorBidi"/>
          <w:color w:val="1F497D"/>
          <w:sz w:val="22"/>
          <w:szCs w:val="22"/>
        </w:rPr>
      </w:pPr>
      <w:r>
        <w:rPr>
          <w:rFonts w:asciiTheme="minorHAnsi" w:hAnsiTheme="minorHAnsi" w:cstheme="minorBidi"/>
          <w:color w:val="1F497D"/>
          <w:sz w:val="22"/>
          <w:szCs w:val="22"/>
        </w:rPr>
        <w:t>They find that p</w:t>
      </w:r>
      <w:r w:rsidR="00B67D18">
        <w:rPr>
          <w:rFonts w:asciiTheme="minorHAnsi" w:hAnsiTheme="minorHAnsi" w:cstheme="minorBidi"/>
          <w:color w:val="1F497D"/>
          <w:sz w:val="22"/>
          <w:szCs w:val="22"/>
        </w:rPr>
        <w:t>eople in the US work more at both the extensive margin (we have higher labor force participation rates) than in Europe and also at the intensive margin (we work more hours and more weeks).</w:t>
      </w:r>
      <w:r>
        <w:rPr>
          <w:rFonts w:asciiTheme="minorHAnsi" w:hAnsiTheme="minorHAnsi" w:cstheme="minorBidi"/>
          <w:color w:val="1F497D"/>
          <w:sz w:val="22"/>
          <w:szCs w:val="22"/>
        </w:rPr>
        <w:t xml:space="preserve"> Statistically they find that they can’t reject the hypothesis that some of this difference is explained by differences in marginal income tax rates.</w:t>
      </w:r>
    </w:p>
    <w:p w:rsidR="00B67D18" w:rsidRDefault="00B67D18" w:rsidP="00B67D18">
      <w:pPr>
        <w:rPr>
          <w:rFonts w:asciiTheme="minorHAnsi" w:hAnsiTheme="minorHAnsi" w:cstheme="minorBidi"/>
          <w:color w:val="1F497D"/>
          <w:sz w:val="22"/>
          <w:szCs w:val="22"/>
        </w:rPr>
      </w:pPr>
    </w:p>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 xml:space="preserve">The biggest difference is at the intensive margin—we saw that in the CNN video about US vs European vacation days (we work about a month per year more than they do, which is pretty significant!) but it is also true that we have longer work-weeks. </w:t>
      </w:r>
    </w:p>
    <w:p w:rsidR="00B67D18" w:rsidRDefault="00B67D18" w:rsidP="00B67D18">
      <w:pPr>
        <w:rPr>
          <w:rFonts w:asciiTheme="minorHAnsi" w:hAnsiTheme="minorHAnsi" w:cstheme="minorBidi"/>
          <w:color w:val="1F497D"/>
          <w:sz w:val="22"/>
          <w:szCs w:val="22"/>
        </w:rPr>
      </w:pPr>
    </w:p>
    <w:p w:rsidR="00B67D18" w:rsidRDefault="00B67D18" w:rsidP="00B67D18">
      <w:pPr>
        <w:rPr>
          <w:rFonts w:asciiTheme="minorHAnsi" w:hAnsiTheme="minorHAnsi" w:cstheme="minorBidi"/>
          <w:color w:val="1F497D"/>
          <w:sz w:val="22"/>
          <w:szCs w:val="22"/>
        </w:rPr>
      </w:pPr>
      <w:r>
        <w:rPr>
          <w:rFonts w:asciiTheme="minorHAnsi" w:hAnsiTheme="minorHAnsi" w:cstheme="minorBidi"/>
          <w:color w:val="1F497D"/>
          <w:sz w:val="22"/>
          <w:szCs w:val="22"/>
        </w:rPr>
        <w:t xml:space="preserve">It’s hard to </w:t>
      </w:r>
      <w:r w:rsidR="0011473F">
        <w:rPr>
          <w:rFonts w:asciiTheme="minorHAnsi" w:hAnsiTheme="minorHAnsi" w:cstheme="minorBidi"/>
          <w:color w:val="1F497D"/>
          <w:sz w:val="22"/>
          <w:szCs w:val="22"/>
        </w:rPr>
        <w:t>be really sure if incom</w:t>
      </w:r>
      <w:bookmarkStart w:id="0" w:name="_GoBack"/>
      <w:bookmarkEnd w:id="0"/>
      <w:r w:rsidR="0011473F">
        <w:rPr>
          <w:rFonts w:asciiTheme="minorHAnsi" w:hAnsiTheme="minorHAnsi" w:cstheme="minorBidi"/>
          <w:color w:val="1F497D"/>
          <w:sz w:val="22"/>
          <w:szCs w:val="22"/>
        </w:rPr>
        <w:t>e taxes are affecting behavior—if the effects are there they are fairly small at the aggregate level.  In terms of forecasting it is likely not an important effect, but in terms of understanding behavior it is still interesting. One might wonder if taxes distort our desire to work but other factors dominate that effect—so for example a higher marginal income tax rate might make me want to work less but there are only discrete options of work available—8 hours a day, for example, or I won’t get hired—and so a model that allows for marginal allocation of hours worked is just not the right one. But that raises interesting institutional questions, as the institution of the 8 hour day is the result of economic decision making too-why settle on that if that is not the efficient market-clearing outcome?</w:t>
      </w:r>
    </w:p>
    <w:p w:rsidR="00467BE1" w:rsidRDefault="00467BE1" w:rsidP="00B67D18">
      <w:pPr>
        <w:rPr>
          <w:rFonts w:asciiTheme="minorHAnsi" w:hAnsiTheme="minorHAnsi" w:cstheme="minorBidi"/>
          <w:color w:val="1F497D"/>
          <w:sz w:val="22"/>
          <w:szCs w:val="22"/>
        </w:rPr>
      </w:pPr>
    </w:p>
    <w:p w:rsidR="00467BE1" w:rsidRDefault="00467BE1" w:rsidP="00B67D18">
      <w:pPr>
        <w:rPr>
          <w:rFonts w:asciiTheme="minorHAnsi" w:hAnsiTheme="minorHAnsi" w:cstheme="minorBidi"/>
          <w:color w:val="1F497D"/>
          <w:sz w:val="22"/>
          <w:szCs w:val="22"/>
        </w:rPr>
      </w:pPr>
      <w:r>
        <w:rPr>
          <w:rFonts w:asciiTheme="minorHAnsi" w:hAnsiTheme="minorHAnsi" w:cstheme="minorBidi"/>
          <w:color w:val="1F497D"/>
          <w:sz w:val="22"/>
          <w:szCs w:val="22"/>
        </w:rPr>
        <w:t xml:space="preserve">One final comment that is that very much in the news is discussion about the effect of cutting corporate profits taxes (effectively a tax on capital) and the way that might reduce distortions and affect GDP. You should not take lessons from the labor market and assume they apply to the capital market—the labor/leisure tradeoff does not work in our models at all the same way capital does. There is very strong evidence that profits/capital taxes distort both savings behavior (reduce savings) and investment </w:t>
      </w:r>
      <w:r>
        <w:rPr>
          <w:rFonts w:asciiTheme="minorHAnsi" w:hAnsiTheme="minorHAnsi" w:cstheme="minorBidi"/>
          <w:color w:val="1F497D"/>
          <w:sz w:val="22"/>
          <w:szCs w:val="22"/>
        </w:rPr>
        <w:lastRenderedPageBreak/>
        <w:t>behavior (reduce the capital stock and GDP). In modern global economies the effects are complicated, but no one doubts they are there.</w:t>
      </w:r>
    </w:p>
    <w:p w:rsidR="00D739C6" w:rsidRDefault="00D739C6"/>
    <w:sectPr w:rsidR="00D73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D18"/>
    <w:rsid w:val="0011473F"/>
    <w:rsid w:val="00467BE1"/>
    <w:rsid w:val="00B67D18"/>
    <w:rsid w:val="00D73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217FA-0F30-4987-B668-4BFE8483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7D18"/>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27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3951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cp:revision>
  <dcterms:created xsi:type="dcterms:W3CDTF">2017-07-15T10:54:00Z</dcterms:created>
  <dcterms:modified xsi:type="dcterms:W3CDTF">2017-07-15T11:19:00Z</dcterms:modified>
</cp:coreProperties>
</file>