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D55" w:rsidRDefault="00B22D55">
      <w:pPr>
        <w:pStyle w:val="BodyText"/>
        <w:rPr>
          <w:rFonts w:ascii="Times New Roman"/>
          <w:sz w:val="20"/>
        </w:rPr>
      </w:pPr>
    </w:p>
    <w:p w:rsidR="00B22D55" w:rsidRDefault="00B22D55">
      <w:pPr>
        <w:pStyle w:val="BodyText"/>
        <w:spacing w:before="9"/>
        <w:rPr>
          <w:rFonts w:ascii="Times New Roman"/>
          <w:sz w:val="24"/>
        </w:rPr>
      </w:pPr>
    </w:p>
    <w:p w:rsidR="00B22D55" w:rsidRDefault="00B22D55">
      <w:pPr>
        <w:pStyle w:val="BodyText"/>
        <w:ind w:left="1886"/>
        <w:rPr>
          <w:rFonts w:ascii="Times New Roman"/>
          <w:sz w:val="20"/>
        </w:rPr>
      </w:pPr>
    </w:p>
    <w:p w:rsidR="00B22D55" w:rsidRDefault="00B22D55">
      <w:pPr>
        <w:pStyle w:val="BodyText"/>
        <w:rPr>
          <w:rFonts w:ascii="Times New Roman"/>
          <w:sz w:val="20"/>
        </w:rPr>
      </w:pPr>
    </w:p>
    <w:p w:rsidR="00B22D55" w:rsidRDefault="00B22D55">
      <w:pPr>
        <w:pStyle w:val="BodyText"/>
        <w:rPr>
          <w:rFonts w:ascii="Times New Roman"/>
          <w:sz w:val="20"/>
        </w:rPr>
      </w:pPr>
    </w:p>
    <w:p w:rsidR="00B22D55" w:rsidRDefault="00B22D55">
      <w:pPr>
        <w:pStyle w:val="BodyText"/>
        <w:rPr>
          <w:rFonts w:ascii="Times New Roman"/>
          <w:sz w:val="20"/>
        </w:rPr>
      </w:pPr>
    </w:p>
    <w:p w:rsidR="00B22D55" w:rsidRDefault="00B22D55">
      <w:pPr>
        <w:pStyle w:val="BodyText"/>
        <w:rPr>
          <w:rFonts w:ascii="Times New Roman"/>
          <w:sz w:val="20"/>
        </w:rPr>
      </w:pPr>
    </w:p>
    <w:p w:rsidR="00B22D55" w:rsidRDefault="00B22D55">
      <w:pPr>
        <w:pStyle w:val="BodyText"/>
        <w:rPr>
          <w:rFonts w:ascii="Times New Roman"/>
          <w:sz w:val="20"/>
        </w:rPr>
      </w:pPr>
    </w:p>
    <w:p w:rsidR="00B22D55" w:rsidRDefault="00B22D55">
      <w:pPr>
        <w:pStyle w:val="BodyText"/>
        <w:rPr>
          <w:rFonts w:ascii="Times New Roman"/>
          <w:sz w:val="20"/>
        </w:rPr>
      </w:pPr>
    </w:p>
    <w:p w:rsidR="00B22D55" w:rsidRDefault="00B22D55">
      <w:pPr>
        <w:pStyle w:val="BodyText"/>
        <w:rPr>
          <w:rFonts w:ascii="Times New Roman"/>
          <w:sz w:val="20"/>
        </w:rPr>
      </w:pPr>
    </w:p>
    <w:p w:rsidR="00B22D55" w:rsidRDefault="00B22D55">
      <w:pPr>
        <w:pStyle w:val="BodyText"/>
        <w:spacing w:before="2"/>
        <w:rPr>
          <w:rFonts w:ascii="Times New Roman"/>
          <w:sz w:val="18"/>
        </w:rPr>
      </w:pPr>
    </w:p>
    <w:p w:rsidR="00B22D55" w:rsidRDefault="00632B5E">
      <w:pPr>
        <w:spacing w:before="35"/>
        <w:ind w:left="1833"/>
        <w:rPr>
          <w:b/>
          <w:sz w:val="40"/>
        </w:rPr>
      </w:pPr>
      <w:r>
        <w:rPr>
          <w:b/>
          <w:sz w:val="40"/>
          <w:u w:val="thick"/>
        </w:rPr>
        <w:t>Information Security Document</w:t>
      </w: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spacing w:before="11"/>
        <w:rPr>
          <w:b/>
          <w:sz w:val="18"/>
        </w:rPr>
      </w:pPr>
    </w:p>
    <w:p w:rsidR="00B22D55" w:rsidRDefault="00632B5E">
      <w:pPr>
        <w:spacing w:before="14"/>
        <w:ind w:left="2066"/>
        <w:rPr>
          <w:b/>
          <w:sz w:val="52"/>
        </w:rPr>
      </w:pPr>
      <w:r>
        <w:rPr>
          <w:b/>
          <w:sz w:val="52"/>
          <w:u w:val="thick"/>
        </w:rPr>
        <w:t>Access Control Policy</w:t>
      </w: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rPr>
          <w:b/>
          <w:sz w:val="20"/>
        </w:rPr>
      </w:pPr>
    </w:p>
    <w:p w:rsidR="00B22D55" w:rsidRDefault="00B22D55">
      <w:pPr>
        <w:pStyle w:val="BodyText"/>
        <w:spacing w:before="11"/>
        <w:rPr>
          <w:b/>
          <w:sz w:val="20"/>
        </w:rPr>
      </w:pPr>
    </w:p>
    <w:p w:rsidR="00B22D55" w:rsidRDefault="00B22D55">
      <w:pPr>
        <w:jc w:val="center"/>
        <w:rPr>
          <w:sz w:val="28"/>
        </w:rPr>
        <w:sectPr w:rsidR="00B22D55">
          <w:headerReference w:type="default" r:id="rId7"/>
          <w:footerReference w:type="default" r:id="rId8"/>
          <w:type w:val="continuous"/>
          <w:pgSz w:w="11900" w:h="16840"/>
          <w:pgMar w:top="1380" w:right="1160" w:bottom="1160" w:left="1140" w:header="741" w:footer="964" w:gutter="0"/>
          <w:pgNumType w:start="1"/>
          <w:cols w:space="720"/>
        </w:sectPr>
      </w:pPr>
    </w:p>
    <w:p w:rsidR="00B22D55" w:rsidRDefault="00B22D55">
      <w:pPr>
        <w:pStyle w:val="BodyText"/>
        <w:spacing w:before="10" w:after="1"/>
        <w:rPr>
          <w:rFonts w:ascii="Times New Roman"/>
          <w:sz w:val="14"/>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2"/>
        <w:gridCol w:w="1442"/>
        <w:gridCol w:w="4389"/>
        <w:gridCol w:w="2510"/>
      </w:tblGrid>
      <w:tr w:rsidR="00B22D55">
        <w:trPr>
          <w:trHeight w:val="254"/>
        </w:trPr>
        <w:tc>
          <w:tcPr>
            <w:tcW w:w="9363" w:type="dxa"/>
            <w:gridSpan w:val="4"/>
            <w:shd w:val="clear" w:color="auto" w:fill="B3B3B3"/>
          </w:tcPr>
          <w:p w:rsidR="00B22D55" w:rsidRDefault="00632B5E">
            <w:pPr>
              <w:pStyle w:val="TableParagraph"/>
              <w:spacing w:line="234" w:lineRule="exact"/>
              <w:rPr>
                <w:b/>
              </w:rPr>
            </w:pPr>
            <w:r>
              <w:rPr>
                <w:b/>
              </w:rPr>
              <w:t>Version History</w:t>
            </w:r>
          </w:p>
        </w:tc>
      </w:tr>
      <w:tr w:rsidR="00B22D55">
        <w:trPr>
          <w:trHeight w:val="251"/>
        </w:trPr>
        <w:tc>
          <w:tcPr>
            <w:tcW w:w="1022" w:type="dxa"/>
          </w:tcPr>
          <w:p w:rsidR="00B22D55" w:rsidRDefault="00632B5E">
            <w:pPr>
              <w:pStyle w:val="TableParagraph"/>
              <w:spacing w:line="232" w:lineRule="exact"/>
              <w:rPr>
                <w:b/>
              </w:rPr>
            </w:pPr>
            <w:r>
              <w:rPr>
                <w:b/>
              </w:rPr>
              <w:t>Version</w:t>
            </w:r>
          </w:p>
        </w:tc>
        <w:tc>
          <w:tcPr>
            <w:tcW w:w="1442" w:type="dxa"/>
          </w:tcPr>
          <w:p w:rsidR="00B22D55" w:rsidRDefault="00632B5E">
            <w:pPr>
              <w:pStyle w:val="TableParagraph"/>
              <w:spacing w:line="232" w:lineRule="exact"/>
              <w:ind w:left="110"/>
              <w:rPr>
                <w:b/>
              </w:rPr>
            </w:pPr>
            <w:r>
              <w:rPr>
                <w:b/>
              </w:rPr>
              <w:t>Date</w:t>
            </w:r>
          </w:p>
        </w:tc>
        <w:tc>
          <w:tcPr>
            <w:tcW w:w="4389" w:type="dxa"/>
          </w:tcPr>
          <w:p w:rsidR="00B22D55" w:rsidRDefault="00632B5E">
            <w:pPr>
              <w:pStyle w:val="TableParagraph"/>
              <w:spacing w:line="232" w:lineRule="exact"/>
              <w:ind w:left="108"/>
              <w:rPr>
                <w:b/>
              </w:rPr>
            </w:pPr>
            <w:r>
              <w:rPr>
                <w:b/>
              </w:rPr>
              <w:t>Detail</w:t>
            </w:r>
          </w:p>
        </w:tc>
        <w:tc>
          <w:tcPr>
            <w:tcW w:w="2510" w:type="dxa"/>
          </w:tcPr>
          <w:p w:rsidR="00B22D55" w:rsidRDefault="00632B5E">
            <w:pPr>
              <w:pStyle w:val="TableParagraph"/>
              <w:spacing w:line="232" w:lineRule="exact"/>
              <w:ind w:left="111"/>
              <w:rPr>
                <w:b/>
              </w:rPr>
            </w:pPr>
            <w:r>
              <w:rPr>
                <w:b/>
              </w:rPr>
              <w:t>Author</w:t>
            </w:r>
          </w:p>
        </w:tc>
      </w:tr>
      <w:tr w:rsidR="00B22D55">
        <w:trPr>
          <w:trHeight w:val="254"/>
        </w:trPr>
        <w:tc>
          <w:tcPr>
            <w:tcW w:w="1022" w:type="dxa"/>
          </w:tcPr>
          <w:p w:rsidR="00B22D55" w:rsidRDefault="00632B5E">
            <w:pPr>
              <w:pStyle w:val="TableParagraph"/>
              <w:spacing w:line="234" w:lineRule="exact"/>
            </w:pPr>
            <w:r>
              <w:t>1.0</w:t>
            </w:r>
          </w:p>
        </w:tc>
        <w:tc>
          <w:tcPr>
            <w:tcW w:w="1442" w:type="dxa"/>
          </w:tcPr>
          <w:p w:rsidR="00B22D55" w:rsidRDefault="00B22D55">
            <w:pPr>
              <w:pStyle w:val="TableParagraph"/>
              <w:spacing w:line="234" w:lineRule="exact"/>
              <w:ind w:left="110"/>
            </w:pPr>
            <w:bookmarkStart w:id="0" w:name="_GoBack"/>
            <w:bookmarkEnd w:id="0"/>
          </w:p>
        </w:tc>
        <w:tc>
          <w:tcPr>
            <w:tcW w:w="4389" w:type="dxa"/>
          </w:tcPr>
          <w:p w:rsidR="00B22D55" w:rsidRDefault="00632B5E">
            <w:pPr>
              <w:pStyle w:val="TableParagraph"/>
              <w:spacing w:line="234" w:lineRule="exact"/>
              <w:ind w:left="108"/>
            </w:pPr>
            <w:r>
              <w:t>Completed for distribution</w:t>
            </w:r>
          </w:p>
        </w:tc>
        <w:tc>
          <w:tcPr>
            <w:tcW w:w="2510" w:type="dxa"/>
          </w:tcPr>
          <w:p w:rsidR="00B22D55" w:rsidRDefault="00B22D55">
            <w:pPr>
              <w:pStyle w:val="TableParagraph"/>
              <w:spacing w:line="234" w:lineRule="exact"/>
              <w:ind w:left="111"/>
            </w:pPr>
          </w:p>
        </w:tc>
      </w:tr>
      <w:tr w:rsidR="00B22D55">
        <w:trPr>
          <w:trHeight w:val="254"/>
        </w:trPr>
        <w:tc>
          <w:tcPr>
            <w:tcW w:w="1022" w:type="dxa"/>
          </w:tcPr>
          <w:p w:rsidR="00B22D55" w:rsidRDefault="00632B5E">
            <w:pPr>
              <w:pStyle w:val="TableParagraph"/>
              <w:spacing w:line="234" w:lineRule="exact"/>
            </w:pPr>
            <w:r>
              <w:t>1.0</w:t>
            </w:r>
          </w:p>
        </w:tc>
        <w:tc>
          <w:tcPr>
            <w:tcW w:w="1442" w:type="dxa"/>
          </w:tcPr>
          <w:p w:rsidR="00B22D55" w:rsidRDefault="00B22D55">
            <w:pPr>
              <w:pStyle w:val="TableParagraph"/>
              <w:spacing w:line="234" w:lineRule="exact"/>
              <w:ind w:left="110"/>
            </w:pPr>
          </w:p>
        </w:tc>
        <w:tc>
          <w:tcPr>
            <w:tcW w:w="4389" w:type="dxa"/>
          </w:tcPr>
          <w:p w:rsidR="00B22D55" w:rsidRDefault="00632B5E">
            <w:pPr>
              <w:pStyle w:val="TableParagraph"/>
              <w:spacing w:line="234" w:lineRule="exact"/>
              <w:ind w:left="108"/>
            </w:pPr>
            <w:r>
              <w:t>Agreed by Information Governance Group</w:t>
            </w:r>
          </w:p>
        </w:tc>
        <w:tc>
          <w:tcPr>
            <w:tcW w:w="2510" w:type="dxa"/>
          </w:tcPr>
          <w:p w:rsidR="00B22D55" w:rsidRDefault="00B22D55">
            <w:pPr>
              <w:pStyle w:val="TableParagraph"/>
              <w:spacing w:line="234" w:lineRule="exact"/>
              <w:ind w:left="111"/>
            </w:pPr>
          </w:p>
        </w:tc>
      </w:tr>
      <w:tr w:rsidR="00B22D55">
        <w:trPr>
          <w:trHeight w:val="506"/>
        </w:trPr>
        <w:tc>
          <w:tcPr>
            <w:tcW w:w="1022" w:type="dxa"/>
          </w:tcPr>
          <w:p w:rsidR="00B22D55" w:rsidRDefault="00632B5E">
            <w:pPr>
              <w:pStyle w:val="TableParagraph"/>
            </w:pPr>
            <w:r>
              <w:t>2.0</w:t>
            </w:r>
          </w:p>
        </w:tc>
        <w:tc>
          <w:tcPr>
            <w:tcW w:w="1442" w:type="dxa"/>
          </w:tcPr>
          <w:p w:rsidR="00B22D55" w:rsidRDefault="00B22D55">
            <w:pPr>
              <w:pStyle w:val="TableParagraph"/>
              <w:ind w:left="110"/>
            </w:pPr>
          </w:p>
        </w:tc>
        <w:tc>
          <w:tcPr>
            <w:tcW w:w="4389" w:type="dxa"/>
          </w:tcPr>
          <w:p w:rsidR="00B22D55" w:rsidRDefault="00632B5E">
            <w:pPr>
              <w:pStyle w:val="TableParagraph"/>
              <w:spacing w:before="2" w:line="252" w:lineRule="exact"/>
              <w:ind w:left="108" w:right="570"/>
            </w:pPr>
            <w:r>
              <w:t>Reviewed by Information Governance Group</w:t>
            </w:r>
          </w:p>
        </w:tc>
        <w:tc>
          <w:tcPr>
            <w:tcW w:w="2510" w:type="dxa"/>
          </w:tcPr>
          <w:p w:rsidR="00B22D55" w:rsidRDefault="00B22D55">
            <w:pPr>
              <w:pStyle w:val="TableParagraph"/>
              <w:ind w:left="111"/>
            </w:pPr>
          </w:p>
        </w:tc>
      </w:tr>
      <w:tr w:rsidR="00B22D55">
        <w:trPr>
          <w:trHeight w:val="506"/>
        </w:trPr>
        <w:tc>
          <w:tcPr>
            <w:tcW w:w="1022" w:type="dxa"/>
          </w:tcPr>
          <w:p w:rsidR="00B22D55" w:rsidRDefault="00632B5E">
            <w:pPr>
              <w:pStyle w:val="TableParagraph"/>
            </w:pPr>
            <w:r>
              <w:t>3.0</w:t>
            </w:r>
          </w:p>
        </w:tc>
        <w:tc>
          <w:tcPr>
            <w:tcW w:w="1442" w:type="dxa"/>
          </w:tcPr>
          <w:p w:rsidR="00B22D55" w:rsidRDefault="00B22D55">
            <w:pPr>
              <w:pStyle w:val="TableParagraph"/>
              <w:ind w:left="110"/>
            </w:pPr>
          </w:p>
        </w:tc>
        <w:tc>
          <w:tcPr>
            <w:tcW w:w="4389" w:type="dxa"/>
          </w:tcPr>
          <w:p w:rsidR="00B22D55" w:rsidRDefault="00632B5E">
            <w:pPr>
              <w:pStyle w:val="TableParagraph"/>
              <w:spacing w:before="2" w:line="252" w:lineRule="exact"/>
              <w:ind w:left="108" w:right="570"/>
            </w:pPr>
            <w:r>
              <w:t>Reviewed by Information Governance Group</w:t>
            </w:r>
          </w:p>
        </w:tc>
        <w:tc>
          <w:tcPr>
            <w:tcW w:w="2510" w:type="dxa"/>
          </w:tcPr>
          <w:p w:rsidR="00B22D55" w:rsidRDefault="00B22D55">
            <w:pPr>
              <w:pStyle w:val="TableParagraph"/>
              <w:ind w:left="111"/>
            </w:pPr>
          </w:p>
        </w:tc>
      </w:tr>
      <w:tr w:rsidR="00B22D55">
        <w:trPr>
          <w:trHeight w:val="758"/>
        </w:trPr>
        <w:tc>
          <w:tcPr>
            <w:tcW w:w="1022" w:type="dxa"/>
          </w:tcPr>
          <w:p w:rsidR="00B22D55" w:rsidRDefault="00632B5E">
            <w:pPr>
              <w:pStyle w:val="TableParagraph"/>
            </w:pPr>
            <w:r>
              <w:t>4.0</w:t>
            </w:r>
          </w:p>
        </w:tc>
        <w:tc>
          <w:tcPr>
            <w:tcW w:w="1442" w:type="dxa"/>
          </w:tcPr>
          <w:p w:rsidR="00B22D55" w:rsidRDefault="00B22D55">
            <w:pPr>
              <w:pStyle w:val="TableParagraph"/>
              <w:ind w:left="110"/>
            </w:pPr>
          </w:p>
        </w:tc>
        <w:tc>
          <w:tcPr>
            <w:tcW w:w="4389" w:type="dxa"/>
          </w:tcPr>
          <w:p w:rsidR="00B22D55" w:rsidRDefault="00632B5E">
            <w:pPr>
              <w:pStyle w:val="TableParagraph"/>
              <w:spacing w:line="240" w:lineRule="auto"/>
              <w:ind w:left="108" w:right="472"/>
            </w:pPr>
            <w:r>
              <w:t>Approved by Information Governance Group. Renamed from Information and</w:t>
            </w:r>
          </w:p>
          <w:p w:rsidR="00B22D55" w:rsidRDefault="00632B5E">
            <w:pPr>
              <w:pStyle w:val="TableParagraph"/>
              <w:spacing w:line="234" w:lineRule="exact"/>
              <w:ind w:left="108"/>
            </w:pPr>
            <w:r>
              <w:t>Systems Access Procedures.</w:t>
            </w:r>
          </w:p>
        </w:tc>
        <w:tc>
          <w:tcPr>
            <w:tcW w:w="2510" w:type="dxa"/>
          </w:tcPr>
          <w:p w:rsidR="00B22D55" w:rsidRDefault="00B22D55">
            <w:pPr>
              <w:pStyle w:val="TableParagraph"/>
              <w:ind w:left="111"/>
            </w:pPr>
          </w:p>
        </w:tc>
      </w:tr>
      <w:tr w:rsidR="00B22D55">
        <w:trPr>
          <w:trHeight w:val="506"/>
        </w:trPr>
        <w:tc>
          <w:tcPr>
            <w:tcW w:w="1022" w:type="dxa"/>
          </w:tcPr>
          <w:p w:rsidR="00B22D55" w:rsidRDefault="00632B5E">
            <w:pPr>
              <w:pStyle w:val="TableParagraph"/>
            </w:pPr>
            <w:r>
              <w:t>5.0</w:t>
            </w:r>
          </w:p>
        </w:tc>
        <w:tc>
          <w:tcPr>
            <w:tcW w:w="1442" w:type="dxa"/>
          </w:tcPr>
          <w:p w:rsidR="00B22D55" w:rsidRDefault="00B22D55">
            <w:pPr>
              <w:pStyle w:val="TableParagraph"/>
              <w:ind w:left="110"/>
            </w:pPr>
          </w:p>
        </w:tc>
        <w:tc>
          <w:tcPr>
            <w:tcW w:w="4389" w:type="dxa"/>
          </w:tcPr>
          <w:p w:rsidR="00B22D55" w:rsidRDefault="00632B5E">
            <w:pPr>
              <w:pStyle w:val="TableParagraph"/>
              <w:spacing w:line="254" w:lineRule="exact"/>
              <w:ind w:left="108" w:right="570"/>
            </w:pPr>
            <w:r>
              <w:t>Reviewed by Information Governance Group</w:t>
            </w:r>
          </w:p>
        </w:tc>
        <w:tc>
          <w:tcPr>
            <w:tcW w:w="2510" w:type="dxa"/>
          </w:tcPr>
          <w:p w:rsidR="00B22D55" w:rsidRDefault="00B22D55">
            <w:pPr>
              <w:pStyle w:val="TableParagraph"/>
              <w:ind w:left="111"/>
            </w:pPr>
          </w:p>
        </w:tc>
      </w:tr>
      <w:tr w:rsidR="00B22D55">
        <w:trPr>
          <w:trHeight w:val="504"/>
        </w:trPr>
        <w:tc>
          <w:tcPr>
            <w:tcW w:w="1022" w:type="dxa"/>
          </w:tcPr>
          <w:p w:rsidR="00B22D55" w:rsidRDefault="00632B5E">
            <w:pPr>
              <w:pStyle w:val="TableParagraph"/>
              <w:spacing w:line="248" w:lineRule="exact"/>
            </w:pPr>
            <w:r>
              <w:t>6.0</w:t>
            </w:r>
          </w:p>
        </w:tc>
        <w:tc>
          <w:tcPr>
            <w:tcW w:w="1442" w:type="dxa"/>
          </w:tcPr>
          <w:p w:rsidR="00B22D55" w:rsidRDefault="00B22D55">
            <w:pPr>
              <w:pStyle w:val="TableParagraph"/>
              <w:spacing w:line="248" w:lineRule="exact"/>
              <w:ind w:left="110"/>
            </w:pPr>
          </w:p>
        </w:tc>
        <w:tc>
          <w:tcPr>
            <w:tcW w:w="4389" w:type="dxa"/>
          </w:tcPr>
          <w:p w:rsidR="00B22D55" w:rsidRDefault="00632B5E">
            <w:pPr>
              <w:pStyle w:val="TableParagraph"/>
              <w:spacing w:line="248" w:lineRule="exact"/>
              <w:ind w:left="108"/>
            </w:pPr>
            <w:r>
              <w:t>Reviewed by Information Governance</w:t>
            </w:r>
          </w:p>
          <w:p w:rsidR="00B22D55" w:rsidRDefault="00632B5E">
            <w:pPr>
              <w:pStyle w:val="TableParagraph"/>
              <w:spacing w:before="1" w:line="234" w:lineRule="exact"/>
              <w:ind w:left="108"/>
            </w:pPr>
            <w:r>
              <w:t>Group</w:t>
            </w:r>
          </w:p>
        </w:tc>
        <w:tc>
          <w:tcPr>
            <w:tcW w:w="2510" w:type="dxa"/>
          </w:tcPr>
          <w:p w:rsidR="00B22D55" w:rsidRDefault="00B22D55">
            <w:pPr>
              <w:pStyle w:val="TableParagraph"/>
              <w:spacing w:line="248" w:lineRule="exact"/>
              <w:ind w:left="111"/>
            </w:pPr>
          </w:p>
        </w:tc>
      </w:tr>
      <w:tr w:rsidR="00B22D55">
        <w:trPr>
          <w:trHeight w:val="506"/>
        </w:trPr>
        <w:tc>
          <w:tcPr>
            <w:tcW w:w="1022" w:type="dxa"/>
          </w:tcPr>
          <w:p w:rsidR="00B22D55" w:rsidRDefault="00632B5E">
            <w:pPr>
              <w:pStyle w:val="TableParagraph"/>
            </w:pPr>
            <w:r>
              <w:t>7.0</w:t>
            </w:r>
          </w:p>
        </w:tc>
        <w:tc>
          <w:tcPr>
            <w:tcW w:w="1442" w:type="dxa"/>
          </w:tcPr>
          <w:p w:rsidR="00B22D55" w:rsidRDefault="00B22D55">
            <w:pPr>
              <w:pStyle w:val="TableParagraph"/>
              <w:ind w:left="110"/>
            </w:pPr>
          </w:p>
        </w:tc>
        <w:tc>
          <w:tcPr>
            <w:tcW w:w="4389" w:type="dxa"/>
          </w:tcPr>
          <w:p w:rsidR="00B22D55" w:rsidRDefault="00632B5E">
            <w:pPr>
              <w:pStyle w:val="TableParagraph"/>
              <w:spacing w:line="254" w:lineRule="exact"/>
              <w:ind w:left="108" w:right="570"/>
            </w:pPr>
            <w:r>
              <w:t>Reviewed by Information Governance Group.</w:t>
            </w:r>
          </w:p>
        </w:tc>
        <w:tc>
          <w:tcPr>
            <w:tcW w:w="2510" w:type="dxa"/>
          </w:tcPr>
          <w:p w:rsidR="00B22D55" w:rsidRDefault="00B22D55">
            <w:pPr>
              <w:pStyle w:val="TableParagraph"/>
              <w:ind w:left="111"/>
            </w:pPr>
          </w:p>
        </w:tc>
      </w:tr>
      <w:tr w:rsidR="00B22D55">
        <w:trPr>
          <w:trHeight w:val="268"/>
        </w:trPr>
        <w:tc>
          <w:tcPr>
            <w:tcW w:w="1022" w:type="dxa"/>
          </w:tcPr>
          <w:p w:rsidR="00B22D55" w:rsidRDefault="00B22D55">
            <w:pPr>
              <w:pStyle w:val="TableParagraph"/>
              <w:spacing w:line="240" w:lineRule="auto"/>
              <w:ind w:left="0"/>
              <w:rPr>
                <w:rFonts w:ascii="Times New Roman"/>
                <w:sz w:val="18"/>
              </w:rPr>
            </w:pPr>
          </w:p>
        </w:tc>
        <w:tc>
          <w:tcPr>
            <w:tcW w:w="1442" w:type="dxa"/>
          </w:tcPr>
          <w:p w:rsidR="00B22D55" w:rsidRDefault="00B22D55">
            <w:pPr>
              <w:pStyle w:val="TableParagraph"/>
              <w:spacing w:line="240" w:lineRule="auto"/>
              <w:ind w:left="0"/>
              <w:rPr>
                <w:rFonts w:ascii="Times New Roman"/>
                <w:sz w:val="18"/>
              </w:rPr>
            </w:pPr>
          </w:p>
        </w:tc>
        <w:tc>
          <w:tcPr>
            <w:tcW w:w="4389" w:type="dxa"/>
          </w:tcPr>
          <w:p w:rsidR="00B22D55" w:rsidRDefault="00B22D55">
            <w:pPr>
              <w:pStyle w:val="TableParagraph"/>
              <w:spacing w:line="240" w:lineRule="auto"/>
              <w:ind w:left="0"/>
              <w:rPr>
                <w:rFonts w:ascii="Times New Roman"/>
                <w:sz w:val="18"/>
              </w:rPr>
            </w:pPr>
          </w:p>
        </w:tc>
        <w:tc>
          <w:tcPr>
            <w:tcW w:w="2510" w:type="dxa"/>
          </w:tcPr>
          <w:p w:rsidR="00B22D55" w:rsidRDefault="00B22D55">
            <w:pPr>
              <w:pStyle w:val="TableParagraph"/>
              <w:spacing w:line="240" w:lineRule="auto"/>
              <w:ind w:left="0"/>
              <w:rPr>
                <w:rFonts w:ascii="Times New Roman"/>
                <w:sz w:val="18"/>
              </w:rPr>
            </w:pPr>
          </w:p>
        </w:tc>
      </w:tr>
      <w:tr w:rsidR="00B22D55">
        <w:trPr>
          <w:trHeight w:val="688"/>
        </w:trPr>
        <w:tc>
          <w:tcPr>
            <w:tcW w:w="9363" w:type="dxa"/>
            <w:gridSpan w:val="4"/>
            <w:shd w:val="clear" w:color="auto" w:fill="B7B7B7"/>
          </w:tcPr>
          <w:p w:rsidR="00B22D55" w:rsidRDefault="00B22D55">
            <w:pPr>
              <w:pStyle w:val="TableParagraph"/>
              <w:spacing w:line="240" w:lineRule="auto"/>
              <w:ind w:left="0"/>
              <w:rPr>
                <w:rFonts w:ascii="Times New Roman"/>
                <w:sz w:val="20"/>
              </w:rPr>
            </w:pPr>
          </w:p>
          <w:p w:rsidR="00B22D55" w:rsidRDefault="00632B5E">
            <w:pPr>
              <w:pStyle w:val="TableParagraph"/>
              <w:spacing w:line="228" w:lineRule="exact"/>
              <w:rPr>
                <w:b/>
                <w:sz w:val="20"/>
              </w:rPr>
            </w:pPr>
            <w:r>
              <w:rPr>
                <w:b/>
                <w:sz w:val="20"/>
              </w:rPr>
              <w:t>This document has been prepared using the following ISO27001:2013 standard controls as reference:</w:t>
            </w:r>
          </w:p>
        </w:tc>
      </w:tr>
      <w:tr w:rsidR="00B22D55">
        <w:trPr>
          <w:trHeight w:val="275"/>
        </w:trPr>
        <w:tc>
          <w:tcPr>
            <w:tcW w:w="2464" w:type="dxa"/>
            <w:gridSpan w:val="2"/>
            <w:shd w:val="clear" w:color="auto" w:fill="F5F5F5"/>
          </w:tcPr>
          <w:p w:rsidR="00B22D55" w:rsidRDefault="00632B5E">
            <w:pPr>
              <w:pStyle w:val="TableParagraph"/>
              <w:spacing w:line="248" w:lineRule="exact"/>
              <w:rPr>
                <w:b/>
              </w:rPr>
            </w:pPr>
            <w:r>
              <w:rPr>
                <w:b/>
              </w:rPr>
              <w:t>ISO Control</w:t>
            </w:r>
          </w:p>
        </w:tc>
        <w:tc>
          <w:tcPr>
            <w:tcW w:w="6899" w:type="dxa"/>
            <w:gridSpan w:val="2"/>
            <w:shd w:val="clear" w:color="auto" w:fill="F5F5F5"/>
          </w:tcPr>
          <w:p w:rsidR="00B22D55" w:rsidRDefault="00632B5E">
            <w:pPr>
              <w:pStyle w:val="TableParagraph"/>
              <w:spacing w:line="248" w:lineRule="exact"/>
              <w:ind w:left="108"/>
              <w:rPr>
                <w:b/>
              </w:rPr>
            </w:pPr>
            <w:r>
              <w:rPr>
                <w:b/>
              </w:rPr>
              <w:t>Description</w:t>
            </w:r>
          </w:p>
        </w:tc>
      </w:tr>
      <w:tr w:rsidR="00B22D55">
        <w:trPr>
          <w:trHeight w:val="278"/>
        </w:trPr>
        <w:tc>
          <w:tcPr>
            <w:tcW w:w="2464" w:type="dxa"/>
            <w:gridSpan w:val="2"/>
            <w:shd w:val="clear" w:color="auto" w:fill="F5F5F5"/>
          </w:tcPr>
          <w:p w:rsidR="00B22D55" w:rsidRDefault="00632B5E">
            <w:pPr>
              <w:pStyle w:val="TableParagraph"/>
              <w:spacing w:line="229" w:lineRule="exact"/>
              <w:rPr>
                <w:sz w:val="20"/>
              </w:rPr>
            </w:pPr>
            <w:r>
              <w:rPr>
                <w:sz w:val="20"/>
              </w:rPr>
              <w:t>A.7.1.1</w:t>
            </w:r>
          </w:p>
        </w:tc>
        <w:tc>
          <w:tcPr>
            <w:tcW w:w="6899" w:type="dxa"/>
            <w:gridSpan w:val="2"/>
            <w:shd w:val="clear" w:color="auto" w:fill="F5F5F5"/>
          </w:tcPr>
          <w:p w:rsidR="00B22D55" w:rsidRDefault="00632B5E">
            <w:pPr>
              <w:pStyle w:val="TableParagraph"/>
              <w:spacing w:line="229" w:lineRule="exact"/>
              <w:ind w:left="108"/>
              <w:rPr>
                <w:sz w:val="20"/>
              </w:rPr>
            </w:pPr>
            <w:r>
              <w:rPr>
                <w:sz w:val="20"/>
              </w:rPr>
              <w:t>Screening</w:t>
            </w:r>
          </w:p>
        </w:tc>
      </w:tr>
      <w:tr w:rsidR="00B22D55">
        <w:trPr>
          <w:trHeight w:val="275"/>
        </w:trPr>
        <w:tc>
          <w:tcPr>
            <w:tcW w:w="2464" w:type="dxa"/>
            <w:gridSpan w:val="2"/>
            <w:shd w:val="clear" w:color="auto" w:fill="F5F5F5"/>
          </w:tcPr>
          <w:p w:rsidR="00B22D55" w:rsidRDefault="00632B5E">
            <w:pPr>
              <w:pStyle w:val="TableParagraph"/>
              <w:spacing w:line="227" w:lineRule="exact"/>
              <w:rPr>
                <w:sz w:val="20"/>
              </w:rPr>
            </w:pPr>
            <w:r>
              <w:rPr>
                <w:sz w:val="20"/>
              </w:rPr>
              <w:t>A.7.2.2</w:t>
            </w:r>
          </w:p>
        </w:tc>
        <w:tc>
          <w:tcPr>
            <w:tcW w:w="6899" w:type="dxa"/>
            <w:gridSpan w:val="2"/>
            <w:shd w:val="clear" w:color="auto" w:fill="F5F5F5"/>
          </w:tcPr>
          <w:p w:rsidR="00B22D55" w:rsidRDefault="00632B5E">
            <w:pPr>
              <w:pStyle w:val="TableParagraph"/>
              <w:spacing w:line="227" w:lineRule="exact"/>
              <w:ind w:left="108"/>
              <w:rPr>
                <w:sz w:val="20"/>
              </w:rPr>
            </w:pPr>
            <w:r>
              <w:rPr>
                <w:sz w:val="20"/>
              </w:rPr>
              <w:t>Information security awareness, education and training.</w:t>
            </w:r>
          </w:p>
        </w:tc>
      </w:tr>
      <w:tr w:rsidR="00B22D55">
        <w:trPr>
          <w:trHeight w:val="275"/>
        </w:trPr>
        <w:tc>
          <w:tcPr>
            <w:tcW w:w="2464" w:type="dxa"/>
            <w:gridSpan w:val="2"/>
            <w:shd w:val="clear" w:color="auto" w:fill="F5F5F5"/>
          </w:tcPr>
          <w:p w:rsidR="00B22D55" w:rsidRDefault="00632B5E">
            <w:pPr>
              <w:pStyle w:val="TableParagraph"/>
              <w:spacing w:line="227" w:lineRule="exact"/>
              <w:rPr>
                <w:sz w:val="20"/>
              </w:rPr>
            </w:pPr>
            <w:r>
              <w:rPr>
                <w:sz w:val="20"/>
              </w:rPr>
              <w:t>A.9.2.6</w:t>
            </w:r>
          </w:p>
        </w:tc>
        <w:tc>
          <w:tcPr>
            <w:tcW w:w="6899" w:type="dxa"/>
            <w:gridSpan w:val="2"/>
            <w:shd w:val="clear" w:color="auto" w:fill="F5F5F5"/>
          </w:tcPr>
          <w:p w:rsidR="00B22D55" w:rsidRDefault="00632B5E">
            <w:pPr>
              <w:pStyle w:val="TableParagraph"/>
              <w:spacing w:line="227" w:lineRule="exact"/>
              <w:ind w:left="108"/>
              <w:rPr>
                <w:sz w:val="20"/>
              </w:rPr>
            </w:pPr>
            <w:r>
              <w:rPr>
                <w:sz w:val="20"/>
              </w:rPr>
              <w:t>Removal or adjustment of access rights.</w:t>
            </w:r>
          </w:p>
        </w:tc>
      </w:tr>
      <w:tr w:rsidR="00B22D55">
        <w:trPr>
          <w:trHeight w:val="275"/>
        </w:trPr>
        <w:tc>
          <w:tcPr>
            <w:tcW w:w="2464" w:type="dxa"/>
            <w:gridSpan w:val="2"/>
            <w:shd w:val="clear" w:color="auto" w:fill="F5F5F5"/>
          </w:tcPr>
          <w:p w:rsidR="00B22D55" w:rsidRDefault="00632B5E">
            <w:pPr>
              <w:pStyle w:val="TableParagraph"/>
              <w:spacing w:line="227" w:lineRule="exact"/>
              <w:rPr>
                <w:sz w:val="20"/>
              </w:rPr>
            </w:pPr>
            <w:r>
              <w:rPr>
                <w:sz w:val="20"/>
              </w:rPr>
              <w:t>A.9.2.1 &gt; 2</w:t>
            </w:r>
          </w:p>
        </w:tc>
        <w:tc>
          <w:tcPr>
            <w:tcW w:w="6899" w:type="dxa"/>
            <w:gridSpan w:val="2"/>
            <w:shd w:val="clear" w:color="auto" w:fill="F5F5F5"/>
          </w:tcPr>
          <w:p w:rsidR="00B22D55" w:rsidRDefault="00632B5E">
            <w:pPr>
              <w:pStyle w:val="TableParagraph"/>
              <w:spacing w:line="227" w:lineRule="exact"/>
              <w:ind w:left="108"/>
              <w:rPr>
                <w:sz w:val="20"/>
              </w:rPr>
            </w:pPr>
            <w:r>
              <w:rPr>
                <w:sz w:val="20"/>
              </w:rPr>
              <w:t>User registration and de-registration/User access provisioning</w:t>
            </w:r>
          </w:p>
        </w:tc>
      </w:tr>
      <w:tr w:rsidR="00B22D55">
        <w:trPr>
          <w:trHeight w:val="275"/>
        </w:trPr>
        <w:tc>
          <w:tcPr>
            <w:tcW w:w="2464" w:type="dxa"/>
            <w:gridSpan w:val="2"/>
            <w:shd w:val="clear" w:color="auto" w:fill="F5F5F5"/>
          </w:tcPr>
          <w:p w:rsidR="00B22D55" w:rsidRDefault="00632B5E">
            <w:pPr>
              <w:pStyle w:val="TableParagraph"/>
              <w:spacing w:line="227" w:lineRule="exact"/>
              <w:rPr>
                <w:sz w:val="20"/>
              </w:rPr>
            </w:pPr>
            <w:r>
              <w:rPr>
                <w:sz w:val="20"/>
              </w:rPr>
              <w:t>A.9.2.3</w:t>
            </w:r>
          </w:p>
        </w:tc>
        <w:tc>
          <w:tcPr>
            <w:tcW w:w="6899" w:type="dxa"/>
            <w:gridSpan w:val="2"/>
            <w:shd w:val="clear" w:color="auto" w:fill="F5F5F5"/>
          </w:tcPr>
          <w:p w:rsidR="00B22D55" w:rsidRDefault="00632B5E">
            <w:pPr>
              <w:pStyle w:val="TableParagraph"/>
              <w:spacing w:line="227" w:lineRule="exact"/>
              <w:ind w:left="108"/>
              <w:rPr>
                <w:sz w:val="20"/>
              </w:rPr>
            </w:pPr>
            <w:r>
              <w:rPr>
                <w:sz w:val="20"/>
              </w:rPr>
              <w:t>Management of privileged access rights</w:t>
            </w:r>
          </w:p>
        </w:tc>
      </w:tr>
      <w:tr w:rsidR="00B22D55">
        <w:trPr>
          <w:trHeight w:val="275"/>
        </w:trPr>
        <w:tc>
          <w:tcPr>
            <w:tcW w:w="2464" w:type="dxa"/>
            <w:gridSpan w:val="2"/>
            <w:shd w:val="clear" w:color="auto" w:fill="F5F5F5"/>
          </w:tcPr>
          <w:p w:rsidR="00B22D55" w:rsidRDefault="00632B5E">
            <w:pPr>
              <w:pStyle w:val="TableParagraph"/>
              <w:spacing w:line="227" w:lineRule="exact"/>
              <w:rPr>
                <w:sz w:val="20"/>
              </w:rPr>
            </w:pPr>
            <w:r>
              <w:rPr>
                <w:sz w:val="20"/>
              </w:rPr>
              <w:t>A.9.2.4</w:t>
            </w:r>
          </w:p>
        </w:tc>
        <w:tc>
          <w:tcPr>
            <w:tcW w:w="6899" w:type="dxa"/>
            <w:gridSpan w:val="2"/>
            <w:shd w:val="clear" w:color="auto" w:fill="F5F5F5"/>
          </w:tcPr>
          <w:p w:rsidR="00B22D55" w:rsidRDefault="00632B5E">
            <w:pPr>
              <w:pStyle w:val="TableParagraph"/>
              <w:spacing w:line="227" w:lineRule="exact"/>
              <w:ind w:left="108"/>
              <w:rPr>
                <w:sz w:val="20"/>
              </w:rPr>
            </w:pPr>
            <w:r>
              <w:rPr>
                <w:sz w:val="20"/>
              </w:rPr>
              <w:t>Management of secret authentication information of users</w:t>
            </w:r>
          </w:p>
        </w:tc>
      </w:tr>
      <w:tr w:rsidR="00B22D55">
        <w:trPr>
          <w:trHeight w:val="278"/>
        </w:trPr>
        <w:tc>
          <w:tcPr>
            <w:tcW w:w="2464" w:type="dxa"/>
            <w:gridSpan w:val="2"/>
            <w:shd w:val="clear" w:color="auto" w:fill="F5F5F5"/>
          </w:tcPr>
          <w:p w:rsidR="00B22D55" w:rsidRDefault="00632B5E">
            <w:pPr>
              <w:pStyle w:val="TableParagraph"/>
              <w:spacing w:line="229" w:lineRule="exact"/>
              <w:rPr>
                <w:sz w:val="20"/>
              </w:rPr>
            </w:pPr>
            <w:r>
              <w:rPr>
                <w:sz w:val="20"/>
              </w:rPr>
              <w:t>A.9.4.1</w:t>
            </w:r>
          </w:p>
        </w:tc>
        <w:tc>
          <w:tcPr>
            <w:tcW w:w="6899" w:type="dxa"/>
            <w:gridSpan w:val="2"/>
            <w:shd w:val="clear" w:color="auto" w:fill="F5F5F5"/>
          </w:tcPr>
          <w:p w:rsidR="00B22D55" w:rsidRDefault="00632B5E">
            <w:pPr>
              <w:pStyle w:val="TableParagraph"/>
              <w:spacing w:line="229" w:lineRule="exact"/>
              <w:ind w:left="108"/>
              <w:rPr>
                <w:sz w:val="20"/>
              </w:rPr>
            </w:pPr>
            <w:r>
              <w:rPr>
                <w:sz w:val="20"/>
              </w:rPr>
              <w:t>Information access restriction</w:t>
            </w:r>
          </w:p>
        </w:tc>
      </w:tr>
      <w:tr w:rsidR="00B22D55">
        <w:trPr>
          <w:trHeight w:val="275"/>
        </w:trPr>
        <w:tc>
          <w:tcPr>
            <w:tcW w:w="2464" w:type="dxa"/>
            <w:gridSpan w:val="2"/>
            <w:shd w:val="clear" w:color="auto" w:fill="F5F5F5"/>
          </w:tcPr>
          <w:p w:rsidR="00B22D55" w:rsidRDefault="00632B5E">
            <w:pPr>
              <w:pStyle w:val="TableParagraph"/>
              <w:spacing w:line="227" w:lineRule="exact"/>
              <w:rPr>
                <w:sz w:val="20"/>
              </w:rPr>
            </w:pPr>
            <w:r>
              <w:rPr>
                <w:sz w:val="20"/>
              </w:rPr>
              <w:t>A.18.2.2</w:t>
            </w:r>
          </w:p>
        </w:tc>
        <w:tc>
          <w:tcPr>
            <w:tcW w:w="6899" w:type="dxa"/>
            <w:gridSpan w:val="2"/>
            <w:shd w:val="clear" w:color="auto" w:fill="F5F5F5"/>
          </w:tcPr>
          <w:p w:rsidR="00B22D55" w:rsidRDefault="00632B5E">
            <w:pPr>
              <w:pStyle w:val="TableParagraph"/>
              <w:spacing w:line="227" w:lineRule="exact"/>
              <w:ind w:left="108"/>
              <w:rPr>
                <w:sz w:val="20"/>
              </w:rPr>
            </w:pPr>
            <w:r>
              <w:rPr>
                <w:sz w:val="20"/>
              </w:rPr>
              <w:t>Compliance with security policies and standards</w:t>
            </w:r>
          </w:p>
        </w:tc>
      </w:tr>
    </w:tbl>
    <w:p w:rsidR="00B22D55" w:rsidRDefault="00B22D55">
      <w:pPr>
        <w:spacing w:line="227" w:lineRule="exact"/>
        <w:rPr>
          <w:sz w:val="20"/>
        </w:rPr>
        <w:sectPr w:rsidR="00B22D55">
          <w:pgSz w:w="11900" w:h="16840"/>
          <w:pgMar w:top="1380" w:right="1160" w:bottom="1160" w:left="1140" w:header="741" w:footer="964" w:gutter="0"/>
          <w:cols w:space="720"/>
        </w:sectPr>
      </w:pPr>
    </w:p>
    <w:p w:rsidR="00B22D55" w:rsidRDefault="00632B5E">
      <w:pPr>
        <w:pStyle w:val="Heading1"/>
        <w:numPr>
          <w:ilvl w:val="0"/>
          <w:numId w:val="2"/>
        </w:numPr>
        <w:tabs>
          <w:tab w:val="left" w:pos="1089"/>
          <w:tab w:val="left" w:pos="1090"/>
        </w:tabs>
        <w:spacing w:before="52"/>
      </w:pPr>
      <w:r>
        <w:lastRenderedPageBreak/>
        <w:t>Introduction</w:t>
      </w:r>
    </w:p>
    <w:p w:rsidR="00B22D55" w:rsidRDefault="00B22D55">
      <w:pPr>
        <w:pStyle w:val="BodyText"/>
        <w:spacing w:before="3"/>
        <w:rPr>
          <w:b/>
          <w:sz w:val="27"/>
        </w:rPr>
      </w:pPr>
    </w:p>
    <w:p w:rsidR="00B22D55" w:rsidRDefault="00632B5E">
      <w:pPr>
        <w:pStyle w:val="BodyText"/>
        <w:ind w:left="657" w:right="681"/>
      </w:pPr>
      <w:r>
        <w:t>Availability</w:t>
      </w:r>
      <w:r>
        <w:rPr>
          <w:b/>
          <w:i/>
        </w:rPr>
        <w:t xml:space="preserve">, </w:t>
      </w:r>
      <w:r>
        <w:t xml:space="preserve">confidentiality and integrity are fundamental aspects of the protection of systems and information and are achieved through physical, logical and procedural controls. It is vital for the protection of systems and information </w:t>
      </w:r>
      <w:proofErr w:type="spellStart"/>
      <w:r>
        <w:t>authorised</w:t>
      </w:r>
      <w:proofErr w:type="spellEnd"/>
      <w:r>
        <w:t xml:space="preserve"> users who have acces</w:t>
      </w:r>
      <w:r>
        <w:t>s to Council systems and information are aware of and understand how their actions may affect security.</w:t>
      </w:r>
    </w:p>
    <w:p w:rsidR="00B22D55" w:rsidRDefault="00B22D55">
      <w:pPr>
        <w:pStyle w:val="BodyText"/>
        <w:spacing w:before="2"/>
      </w:pPr>
    </w:p>
    <w:p w:rsidR="00B22D55" w:rsidRDefault="00632B5E">
      <w:pPr>
        <w:pStyle w:val="BodyText"/>
        <w:ind w:left="657" w:right="705"/>
      </w:pPr>
      <w:r>
        <w:t xml:space="preserve">Availability – systems and information are physically secure and will be accessible to </w:t>
      </w:r>
      <w:proofErr w:type="spellStart"/>
      <w:r>
        <w:t>authorised</w:t>
      </w:r>
      <w:proofErr w:type="spellEnd"/>
      <w:r>
        <w:t xml:space="preserve"> persons when required.</w:t>
      </w:r>
    </w:p>
    <w:p w:rsidR="00B22D55" w:rsidRDefault="00B22D55">
      <w:pPr>
        <w:pStyle w:val="BodyText"/>
        <w:spacing w:before="11"/>
        <w:rPr>
          <w:sz w:val="21"/>
        </w:rPr>
      </w:pPr>
    </w:p>
    <w:p w:rsidR="00B22D55" w:rsidRDefault="00632B5E">
      <w:pPr>
        <w:pStyle w:val="BodyText"/>
        <w:ind w:left="657" w:right="1402"/>
      </w:pPr>
      <w:r>
        <w:t>Confidentiality - systems and</w:t>
      </w:r>
      <w:r>
        <w:t xml:space="preserve"> information will only be accessible to </w:t>
      </w:r>
      <w:proofErr w:type="spellStart"/>
      <w:r>
        <w:t>authorised</w:t>
      </w:r>
      <w:proofErr w:type="spellEnd"/>
      <w:r>
        <w:t xml:space="preserve"> persons.</w:t>
      </w:r>
    </w:p>
    <w:p w:rsidR="00B22D55" w:rsidRDefault="00B22D55">
      <w:pPr>
        <w:pStyle w:val="BodyText"/>
        <w:spacing w:before="11"/>
        <w:rPr>
          <w:sz w:val="21"/>
        </w:rPr>
      </w:pPr>
    </w:p>
    <w:p w:rsidR="00B22D55" w:rsidRDefault="00632B5E">
      <w:pPr>
        <w:pStyle w:val="BodyText"/>
        <w:ind w:left="657" w:right="1732"/>
      </w:pPr>
      <w:r>
        <w:t>Integrity – the accuracy and completeness of systems and information are safeguarded.</w:t>
      </w:r>
    </w:p>
    <w:p w:rsidR="00B22D55" w:rsidRDefault="00B22D55">
      <w:pPr>
        <w:pStyle w:val="BodyText"/>
      </w:pPr>
    </w:p>
    <w:p w:rsidR="00B22D55" w:rsidRDefault="00B22D55">
      <w:pPr>
        <w:pStyle w:val="BodyText"/>
      </w:pPr>
    </w:p>
    <w:p w:rsidR="00B22D55" w:rsidRDefault="00632B5E">
      <w:pPr>
        <w:pStyle w:val="BodyText"/>
        <w:spacing w:before="1"/>
        <w:ind w:left="657"/>
      </w:pPr>
      <w:proofErr w:type="spellStart"/>
      <w:r>
        <w:t>Authorised</w:t>
      </w:r>
      <w:proofErr w:type="spellEnd"/>
      <w:r>
        <w:t xml:space="preserve"> users referred to in this document are members of the following </w:t>
      </w:r>
      <w:proofErr w:type="gramStart"/>
      <w:r>
        <w:t>groups:-</w:t>
      </w:r>
      <w:proofErr w:type="gramEnd"/>
    </w:p>
    <w:p w:rsidR="00B22D55" w:rsidRDefault="00B22D55">
      <w:pPr>
        <w:pStyle w:val="BodyText"/>
        <w:spacing w:before="11"/>
        <w:rPr>
          <w:sz w:val="21"/>
        </w:rPr>
      </w:pPr>
    </w:p>
    <w:p w:rsidR="00B22D55" w:rsidRDefault="00632B5E">
      <w:pPr>
        <w:pStyle w:val="ListParagraph"/>
        <w:numPr>
          <w:ilvl w:val="1"/>
          <w:numId w:val="2"/>
        </w:numPr>
        <w:tabs>
          <w:tab w:val="left" w:pos="1378"/>
        </w:tabs>
        <w:ind w:right="769"/>
        <w:jc w:val="both"/>
      </w:pPr>
      <w:r>
        <w:t>All parties (either as</w:t>
      </w:r>
      <w:r>
        <w:t xml:space="preserve"> part of a contract of employment or </w:t>
      </w:r>
      <w:proofErr w:type="gramStart"/>
      <w:r>
        <w:t>third party</w:t>
      </w:r>
      <w:proofErr w:type="gramEnd"/>
      <w:r>
        <w:t xml:space="preserve"> contract) who have access to, or use of ICT systems and information belonging to, or under the control of the Council</w:t>
      </w:r>
      <w:r>
        <w:rPr>
          <w:spacing w:val="-7"/>
        </w:rPr>
        <w:t xml:space="preserve"> </w:t>
      </w:r>
      <w:r>
        <w:t>including:</w:t>
      </w:r>
    </w:p>
    <w:p w:rsidR="00B22D55" w:rsidRDefault="00B22D55">
      <w:pPr>
        <w:pStyle w:val="BodyText"/>
        <w:spacing w:before="11"/>
        <w:rPr>
          <w:sz w:val="21"/>
        </w:rPr>
      </w:pPr>
    </w:p>
    <w:p w:rsidR="00B22D55" w:rsidRDefault="00632B5E">
      <w:pPr>
        <w:pStyle w:val="ListParagraph"/>
        <w:numPr>
          <w:ilvl w:val="2"/>
          <w:numId w:val="2"/>
        </w:numPr>
        <w:tabs>
          <w:tab w:val="left" w:pos="1737"/>
          <w:tab w:val="left" w:pos="1738"/>
        </w:tabs>
        <w:spacing w:line="262" w:lineRule="exact"/>
      </w:pPr>
      <w:r>
        <w:t>Council</w:t>
      </w:r>
      <w:r>
        <w:rPr>
          <w:spacing w:val="-1"/>
        </w:rPr>
        <w:t xml:space="preserve"> </w:t>
      </w:r>
      <w:r>
        <w:t>employees</w:t>
      </w:r>
    </w:p>
    <w:p w:rsidR="00B22D55" w:rsidRDefault="00632B5E">
      <w:pPr>
        <w:pStyle w:val="ListParagraph"/>
        <w:numPr>
          <w:ilvl w:val="2"/>
          <w:numId w:val="2"/>
        </w:numPr>
        <w:tabs>
          <w:tab w:val="left" w:pos="1737"/>
          <w:tab w:val="left" w:pos="1738"/>
        </w:tabs>
        <w:spacing w:line="252" w:lineRule="exact"/>
      </w:pPr>
      <w:r>
        <w:t>Elected</w:t>
      </w:r>
      <w:r>
        <w:rPr>
          <w:spacing w:val="-1"/>
        </w:rPr>
        <w:t xml:space="preserve"> </w:t>
      </w:r>
      <w:r>
        <w:t>Members</w:t>
      </w:r>
    </w:p>
    <w:p w:rsidR="00B22D55" w:rsidRDefault="00632B5E">
      <w:pPr>
        <w:pStyle w:val="ListParagraph"/>
        <w:numPr>
          <w:ilvl w:val="2"/>
          <w:numId w:val="2"/>
        </w:numPr>
        <w:tabs>
          <w:tab w:val="left" w:pos="1737"/>
          <w:tab w:val="left" w:pos="1738"/>
        </w:tabs>
        <w:spacing w:line="253" w:lineRule="exact"/>
      </w:pPr>
      <w:r>
        <w:t>Third</w:t>
      </w:r>
      <w:r>
        <w:rPr>
          <w:spacing w:val="-3"/>
        </w:rPr>
        <w:t xml:space="preserve"> </w:t>
      </w:r>
      <w:r>
        <w:t>Parties</w:t>
      </w:r>
    </w:p>
    <w:p w:rsidR="00B22D55" w:rsidRDefault="00632B5E">
      <w:pPr>
        <w:pStyle w:val="ListParagraph"/>
        <w:numPr>
          <w:ilvl w:val="2"/>
          <w:numId w:val="2"/>
        </w:numPr>
        <w:tabs>
          <w:tab w:val="left" w:pos="1737"/>
          <w:tab w:val="left" w:pos="1738"/>
        </w:tabs>
        <w:spacing w:line="253" w:lineRule="exact"/>
      </w:pPr>
      <w:r>
        <w:t>Full and part-time</w:t>
      </w:r>
      <w:r>
        <w:rPr>
          <w:spacing w:val="-1"/>
        </w:rPr>
        <w:t xml:space="preserve"> </w:t>
      </w:r>
      <w:r>
        <w:t>staff</w:t>
      </w:r>
    </w:p>
    <w:p w:rsidR="00B22D55" w:rsidRDefault="00632B5E">
      <w:pPr>
        <w:pStyle w:val="ListParagraph"/>
        <w:numPr>
          <w:ilvl w:val="2"/>
          <w:numId w:val="2"/>
        </w:numPr>
        <w:tabs>
          <w:tab w:val="left" w:pos="1737"/>
          <w:tab w:val="left" w:pos="1738"/>
        </w:tabs>
        <w:spacing w:line="253" w:lineRule="exact"/>
      </w:pPr>
      <w:r>
        <w:t>Temporary</w:t>
      </w:r>
      <w:r>
        <w:rPr>
          <w:spacing w:val="-3"/>
        </w:rPr>
        <w:t xml:space="preserve"> </w:t>
      </w:r>
      <w:r>
        <w:t>staff</w:t>
      </w:r>
    </w:p>
    <w:p w:rsidR="00B22D55" w:rsidRDefault="00632B5E">
      <w:pPr>
        <w:pStyle w:val="ListParagraph"/>
        <w:numPr>
          <w:ilvl w:val="2"/>
          <w:numId w:val="2"/>
        </w:numPr>
        <w:tabs>
          <w:tab w:val="left" w:pos="1737"/>
          <w:tab w:val="left" w:pos="1738"/>
        </w:tabs>
        <w:spacing w:line="253" w:lineRule="exact"/>
      </w:pPr>
      <w:r>
        <w:t>Agency</w:t>
      </w:r>
      <w:r>
        <w:rPr>
          <w:spacing w:val="-3"/>
        </w:rPr>
        <w:t xml:space="preserve"> </w:t>
      </w:r>
      <w:r>
        <w:t>staff</w:t>
      </w:r>
    </w:p>
    <w:p w:rsidR="00B22D55" w:rsidRDefault="00632B5E">
      <w:pPr>
        <w:pStyle w:val="ListParagraph"/>
        <w:numPr>
          <w:ilvl w:val="2"/>
          <w:numId w:val="2"/>
        </w:numPr>
        <w:tabs>
          <w:tab w:val="left" w:pos="1737"/>
          <w:tab w:val="left" w:pos="1738"/>
        </w:tabs>
        <w:spacing w:line="252" w:lineRule="exact"/>
      </w:pPr>
      <w:r>
        <w:t>Partner</w:t>
      </w:r>
      <w:r>
        <w:rPr>
          <w:spacing w:val="-2"/>
        </w:rPr>
        <w:t xml:space="preserve"> </w:t>
      </w:r>
      <w:proofErr w:type="spellStart"/>
      <w:r>
        <w:t>organisations</w:t>
      </w:r>
      <w:proofErr w:type="spellEnd"/>
    </w:p>
    <w:p w:rsidR="00B22D55" w:rsidRDefault="00632B5E">
      <w:pPr>
        <w:pStyle w:val="ListParagraph"/>
        <w:numPr>
          <w:ilvl w:val="2"/>
          <w:numId w:val="2"/>
        </w:numPr>
        <w:tabs>
          <w:tab w:val="left" w:pos="1737"/>
          <w:tab w:val="left" w:pos="1738"/>
        </w:tabs>
        <w:spacing w:line="253" w:lineRule="exact"/>
      </w:pPr>
      <w:r>
        <w:t>Members of the public</w:t>
      </w:r>
    </w:p>
    <w:p w:rsidR="00B22D55" w:rsidRDefault="00632B5E">
      <w:pPr>
        <w:pStyle w:val="ListParagraph"/>
        <w:numPr>
          <w:ilvl w:val="2"/>
          <w:numId w:val="2"/>
        </w:numPr>
        <w:tabs>
          <w:tab w:val="left" w:pos="1737"/>
          <w:tab w:val="left" w:pos="1738"/>
        </w:tabs>
        <w:spacing w:line="253" w:lineRule="exact"/>
      </w:pPr>
      <w:r>
        <w:t>Volunteers</w:t>
      </w:r>
    </w:p>
    <w:p w:rsidR="00B22D55" w:rsidRDefault="00632B5E">
      <w:pPr>
        <w:pStyle w:val="ListParagraph"/>
        <w:numPr>
          <w:ilvl w:val="2"/>
          <w:numId w:val="2"/>
        </w:numPr>
        <w:tabs>
          <w:tab w:val="left" w:pos="1737"/>
          <w:tab w:val="left" w:pos="1738"/>
        </w:tabs>
        <w:spacing w:line="262" w:lineRule="exact"/>
      </w:pPr>
      <w:r>
        <w:t xml:space="preserve">Any other party </w:t>
      </w:r>
      <w:proofErr w:type="spellStart"/>
      <w:r>
        <w:t>utilising</w:t>
      </w:r>
      <w:proofErr w:type="spellEnd"/>
      <w:r>
        <w:t xml:space="preserve"> Council ICT</w:t>
      </w:r>
      <w:r>
        <w:rPr>
          <w:spacing w:val="-6"/>
        </w:rPr>
        <w:t xml:space="preserve"> </w:t>
      </w:r>
      <w:r>
        <w:t>resources</w:t>
      </w:r>
    </w:p>
    <w:p w:rsidR="00B22D55" w:rsidRDefault="00632B5E">
      <w:pPr>
        <w:pStyle w:val="Heading1"/>
        <w:numPr>
          <w:ilvl w:val="0"/>
          <w:numId w:val="2"/>
        </w:numPr>
        <w:tabs>
          <w:tab w:val="left" w:pos="1089"/>
          <w:tab w:val="left" w:pos="1090"/>
        </w:tabs>
        <w:spacing w:before="220"/>
      </w:pPr>
      <w:r>
        <w:t>Purpose</w:t>
      </w:r>
    </w:p>
    <w:p w:rsidR="00B22D55" w:rsidRDefault="00632B5E">
      <w:pPr>
        <w:pStyle w:val="BodyText"/>
        <w:spacing w:before="62"/>
        <w:ind w:left="657" w:right="1169"/>
      </w:pPr>
      <w:r>
        <w:t>The purpose of this policy is to ensure that both logical and physical access to information and systems is controll</w:t>
      </w:r>
      <w:r>
        <w:t>ed and procedures are in place to ensure the protection of information systems and data.</w:t>
      </w:r>
    </w:p>
    <w:p w:rsidR="00B22D55" w:rsidRDefault="00B22D55">
      <w:pPr>
        <w:pStyle w:val="BodyText"/>
        <w:spacing w:before="7"/>
        <w:rPr>
          <w:sz w:val="20"/>
        </w:rPr>
      </w:pPr>
    </w:p>
    <w:p w:rsidR="00B22D55" w:rsidRDefault="00632B5E">
      <w:pPr>
        <w:pStyle w:val="Heading1"/>
        <w:numPr>
          <w:ilvl w:val="0"/>
          <w:numId w:val="2"/>
        </w:numPr>
        <w:tabs>
          <w:tab w:val="left" w:pos="1089"/>
          <w:tab w:val="left" w:pos="1090"/>
        </w:tabs>
        <w:rPr>
          <w:sz w:val="22"/>
        </w:rPr>
      </w:pPr>
      <w:r>
        <w:t>Scope</w:t>
      </w:r>
    </w:p>
    <w:p w:rsidR="00B22D55" w:rsidRDefault="00632B5E">
      <w:pPr>
        <w:pStyle w:val="BodyText"/>
        <w:spacing w:before="62"/>
        <w:ind w:left="657" w:right="767"/>
      </w:pPr>
      <w:r>
        <w:t>The scope of this policy includes all access to Council information, ICT systems and physical access to areas and locations where information and data is locate</w:t>
      </w:r>
      <w:r>
        <w:t xml:space="preserve">d. This policy applies throughout the information lifecycle from acquisition/creation, through to </w:t>
      </w:r>
      <w:proofErr w:type="spellStart"/>
      <w:r>
        <w:t>utilisation</w:t>
      </w:r>
      <w:proofErr w:type="spellEnd"/>
      <w:r>
        <w:t>, storage and disposal.</w:t>
      </w:r>
    </w:p>
    <w:p w:rsidR="00B22D55" w:rsidRDefault="00B22D55">
      <w:pPr>
        <w:sectPr w:rsidR="00B22D55">
          <w:pgSz w:w="11900" w:h="16840"/>
          <w:pgMar w:top="1380" w:right="1160" w:bottom="1160" w:left="1140" w:header="741" w:footer="964" w:gutter="0"/>
          <w:cols w:space="720"/>
        </w:sectPr>
      </w:pPr>
    </w:p>
    <w:p w:rsidR="00B22D55" w:rsidRDefault="00632B5E">
      <w:pPr>
        <w:pStyle w:val="Heading1"/>
        <w:numPr>
          <w:ilvl w:val="0"/>
          <w:numId w:val="2"/>
        </w:numPr>
        <w:tabs>
          <w:tab w:val="left" w:pos="1089"/>
          <w:tab w:val="left" w:pos="1090"/>
        </w:tabs>
        <w:spacing w:before="52"/>
      </w:pPr>
      <w:r>
        <w:lastRenderedPageBreak/>
        <w:t>Policy</w:t>
      </w:r>
      <w:r>
        <w:rPr>
          <w:spacing w:val="-6"/>
        </w:rPr>
        <w:t xml:space="preserve"> </w:t>
      </w:r>
      <w:r>
        <w:t>Statement</w:t>
      </w:r>
    </w:p>
    <w:p w:rsidR="00B22D55" w:rsidRDefault="00B22D55">
      <w:pPr>
        <w:pStyle w:val="BodyText"/>
        <w:spacing w:before="3"/>
        <w:rPr>
          <w:b/>
          <w:sz w:val="27"/>
        </w:rPr>
      </w:pPr>
    </w:p>
    <w:p w:rsidR="00B22D55" w:rsidRDefault="00632B5E">
      <w:pPr>
        <w:pStyle w:val="BodyText"/>
        <w:ind w:left="657" w:right="778"/>
      </w:pPr>
      <w:r>
        <w:t xml:space="preserve">On-going education featuring corporate induction </w:t>
      </w:r>
      <w:proofErr w:type="spellStart"/>
      <w:r>
        <w:t>programmes</w:t>
      </w:r>
      <w:proofErr w:type="spellEnd"/>
      <w:r>
        <w:t xml:space="preserve">, eLearning, line manager training, specific training and awareness </w:t>
      </w:r>
      <w:proofErr w:type="spellStart"/>
      <w:r>
        <w:t>programmes</w:t>
      </w:r>
      <w:proofErr w:type="spellEnd"/>
      <w:r>
        <w:t xml:space="preserve"> must be undertaken by staff to enable them to be aware of their responsibilities towards systems and information secur</w:t>
      </w:r>
      <w:r>
        <w:t>ity.</w:t>
      </w:r>
    </w:p>
    <w:p w:rsidR="00B22D55" w:rsidRDefault="00B22D55">
      <w:pPr>
        <w:pStyle w:val="BodyText"/>
      </w:pPr>
    </w:p>
    <w:p w:rsidR="00B22D55" w:rsidRDefault="00632B5E">
      <w:pPr>
        <w:pStyle w:val="BodyText"/>
        <w:ind w:left="657"/>
      </w:pPr>
      <w:r>
        <w:rPr>
          <w:u w:val="single"/>
        </w:rPr>
        <w:t>SYSTEMS/INFORMATION ACCESS.</w:t>
      </w:r>
    </w:p>
    <w:p w:rsidR="00B22D55" w:rsidRDefault="00B22D55">
      <w:pPr>
        <w:pStyle w:val="BodyText"/>
        <w:spacing w:before="5"/>
        <w:rPr>
          <w:sz w:val="16"/>
        </w:rPr>
      </w:pPr>
    </w:p>
    <w:p w:rsidR="00B22D55" w:rsidRDefault="00632B5E">
      <w:pPr>
        <w:pStyle w:val="BodyText"/>
        <w:spacing w:before="65"/>
        <w:ind w:left="657" w:right="1255"/>
      </w:pPr>
      <w:r>
        <w:t>Information risk owners, as identified in the Council’s ISO27001 Scope, or their delegate must explicitly define, document and keep up to date the access requirements for the specific roles which have access to the inform</w:t>
      </w:r>
      <w:r>
        <w:t>ation.</w:t>
      </w:r>
    </w:p>
    <w:p w:rsidR="00B22D55" w:rsidRDefault="00B22D55">
      <w:pPr>
        <w:pStyle w:val="BodyText"/>
        <w:spacing w:before="1"/>
      </w:pPr>
    </w:p>
    <w:p w:rsidR="00B22D55" w:rsidRDefault="00632B5E">
      <w:pPr>
        <w:pStyle w:val="BodyText"/>
        <w:ind w:left="657" w:right="974"/>
      </w:pPr>
      <w:r>
        <w:t xml:space="preserve">A form exists on the SAP system for managers to complete if an employee’s role within the </w:t>
      </w:r>
      <w:proofErr w:type="spellStart"/>
      <w:r>
        <w:t>organisation</w:t>
      </w:r>
      <w:proofErr w:type="spellEnd"/>
      <w:r>
        <w:t xml:space="preserve"> changes and access to systems needs to be updated or removed. Managers must contact the Service Desk to ensure access to other systems and progra</w:t>
      </w:r>
      <w:r>
        <w:t>ms are updated if a user’s role or the business need changes</w:t>
      </w:r>
      <w:r>
        <w:rPr>
          <w:color w:val="FF0000"/>
        </w:rPr>
        <w:t>.</w:t>
      </w:r>
    </w:p>
    <w:p w:rsidR="00B22D55" w:rsidRDefault="00B22D55">
      <w:pPr>
        <w:pStyle w:val="BodyText"/>
        <w:spacing w:before="11"/>
        <w:rPr>
          <w:sz w:val="21"/>
        </w:rPr>
      </w:pPr>
    </w:p>
    <w:p w:rsidR="00B22D55" w:rsidRDefault="00632B5E">
      <w:pPr>
        <w:pStyle w:val="ListParagraph"/>
        <w:numPr>
          <w:ilvl w:val="1"/>
          <w:numId w:val="2"/>
        </w:numPr>
        <w:tabs>
          <w:tab w:val="left" w:pos="1377"/>
          <w:tab w:val="left" w:pos="1378"/>
        </w:tabs>
        <w:ind w:right="796" w:hanging="360"/>
      </w:pPr>
      <w:r>
        <w:t xml:space="preserve">For systems containing restricted and personal information and data, an access control matrix must be developed to record role based </w:t>
      </w:r>
      <w:proofErr w:type="spellStart"/>
      <w:r>
        <w:t>authorised</w:t>
      </w:r>
      <w:proofErr w:type="spellEnd"/>
      <w:r>
        <w:t xml:space="preserve"> access recorded on an individual basis. </w:t>
      </w:r>
      <w:proofErr w:type="spellStart"/>
      <w:r>
        <w:t>Authorisa</w:t>
      </w:r>
      <w:r>
        <w:t>tion</w:t>
      </w:r>
      <w:proofErr w:type="spellEnd"/>
      <w:r>
        <w:t xml:space="preserve"> procedures must be in place for managers to </w:t>
      </w:r>
      <w:proofErr w:type="spellStart"/>
      <w:r>
        <w:t>authorise</w:t>
      </w:r>
      <w:proofErr w:type="spellEnd"/>
      <w:r>
        <w:t xml:space="preserve"> all access (including short term and temporary access) recorded on the matrix. The access matrix must be continually updated and maintained to reflect accurate records of</w:t>
      </w:r>
      <w:r>
        <w:rPr>
          <w:spacing w:val="-23"/>
        </w:rPr>
        <w:t xml:space="preserve"> </w:t>
      </w:r>
      <w:r>
        <w:t>access.</w:t>
      </w:r>
    </w:p>
    <w:p w:rsidR="00B22D55" w:rsidRDefault="00632B5E">
      <w:pPr>
        <w:pStyle w:val="ListParagraph"/>
        <w:numPr>
          <w:ilvl w:val="1"/>
          <w:numId w:val="2"/>
        </w:numPr>
        <w:tabs>
          <w:tab w:val="left" w:pos="1377"/>
          <w:tab w:val="left" w:pos="1378"/>
        </w:tabs>
        <w:ind w:right="1005" w:hanging="360"/>
      </w:pPr>
      <w:r>
        <w:t xml:space="preserve">To gain access to </w:t>
      </w:r>
      <w:r>
        <w:t>specific systems and information, a member of staff will need to follow a formal application process. Users will need to apply to the relevant owners/senior custodian of the systems using the appropriate completed</w:t>
      </w:r>
      <w:r>
        <w:rPr>
          <w:spacing w:val="-5"/>
        </w:rPr>
        <w:t xml:space="preserve"> </w:t>
      </w:r>
      <w:r>
        <w:t>forms.</w:t>
      </w:r>
    </w:p>
    <w:p w:rsidR="00B22D55" w:rsidRDefault="00632B5E">
      <w:pPr>
        <w:pStyle w:val="ListParagraph"/>
        <w:numPr>
          <w:ilvl w:val="1"/>
          <w:numId w:val="2"/>
        </w:numPr>
        <w:tabs>
          <w:tab w:val="left" w:pos="1378"/>
        </w:tabs>
        <w:ind w:right="746" w:hanging="360"/>
        <w:jc w:val="both"/>
      </w:pPr>
      <w:r>
        <w:t>Generic logons are not generally pe</w:t>
      </w:r>
      <w:r>
        <w:t>rmitted across the Council, however, use of generic accounts under exceptional ‘controlled’ circumstances such as the Council’s Libraries system, is permitted.</w:t>
      </w:r>
    </w:p>
    <w:p w:rsidR="00B22D55" w:rsidRDefault="00632B5E">
      <w:pPr>
        <w:pStyle w:val="ListParagraph"/>
        <w:numPr>
          <w:ilvl w:val="1"/>
          <w:numId w:val="2"/>
        </w:numPr>
        <w:tabs>
          <w:tab w:val="left" w:pos="1377"/>
          <w:tab w:val="left" w:pos="1378"/>
        </w:tabs>
        <w:ind w:right="698" w:hanging="360"/>
      </w:pPr>
      <w:r>
        <w:t>To ensure relevant Council or national legislation security standards are adhered to, personnel checks, such as DBS and Baseline Personnel Security Standard checks may be undertaken if</w:t>
      </w:r>
      <w:r>
        <w:rPr>
          <w:spacing w:val="-8"/>
        </w:rPr>
        <w:t xml:space="preserve"> </w:t>
      </w:r>
      <w:r>
        <w:t>required.</w:t>
      </w:r>
    </w:p>
    <w:p w:rsidR="00B22D55" w:rsidRDefault="00632B5E">
      <w:pPr>
        <w:pStyle w:val="ListParagraph"/>
        <w:numPr>
          <w:ilvl w:val="1"/>
          <w:numId w:val="2"/>
        </w:numPr>
        <w:tabs>
          <w:tab w:val="left" w:pos="1377"/>
          <w:tab w:val="left" w:pos="1378"/>
        </w:tabs>
        <w:ind w:right="636" w:hanging="360"/>
      </w:pPr>
      <w:r>
        <w:t>The appropriate level of access to systems and information will be determined upon the prospective users required business need, job function and</w:t>
      </w:r>
      <w:r>
        <w:rPr>
          <w:spacing w:val="-23"/>
        </w:rPr>
        <w:t xml:space="preserve"> </w:t>
      </w:r>
      <w:r>
        <w:t>role.</w:t>
      </w:r>
    </w:p>
    <w:p w:rsidR="00B22D55" w:rsidRDefault="00632B5E">
      <w:pPr>
        <w:pStyle w:val="ListParagraph"/>
        <w:numPr>
          <w:ilvl w:val="1"/>
          <w:numId w:val="2"/>
        </w:numPr>
        <w:tabs>
          <w:tab w:val="left" w:pos="1377"/>
          <w:tab w:val="left" w:pos="1378"/>
        </w:tabs>
        <w:ind w:right="1404" w:hanging="360"/>
      </w:pPr>
      <w:r>
        <w:t>A signed confirmation by the user may be required indicating that they understand and appreciate the con</w:t>
      </w:r>
      <w:r>
        <w:t>ditions of access and</w:t>
      </w:r>
      <w:r>
        <w:rPr>
          <w:spacing w:val="-13"/>
        </w:rPr>
        <w:t xml:space="preserve"> </w:t>
      </w:r>
      <w:r>
        <w:t>security.</w:t>
      </w:r>
    </w:p>
    <w:p w:rsidR="00B22D55" w:rsidRDefault="00632B5E">
      <w:pPr>
        <w:pStyle w:val="ListParagraph"/>
        <w:numPr>
          <w:ilvl w:val="1"/>
          <w:numId w:val="2"/>
        </w:numPr>
        <w:tabs>
          <w:tab w:val="left" w:pos="1377"/>
          <w:tab w:val="left" w:pos="1378"/>
        </w:tabs>
        <w:ind w:right="669" w:hanging="360"/>
      </w:pPr>
      <w:r>
        <w:t xml:space="preserve">If </w:t>
      </w:r>
      <w:proofErr w:type="spellStart"/>
      <w:r>
        <w:t>authorisation</w:t>
      </w:r>
      <w:proofErr w:type="spellEnd"/>
      <w:r>
        <w:t xml:space="preserve"> to use systems and information is granted, unique logon credentials and password will be provided to the applicant. Further instruction on how to maintain the security of systems and information with due reg</w:t>
      </w:r>
      <w:r>
        <w:t>ard to the procedures below may be</w:t>
      </w:r>
      <w:r>
        <w:rPr>
          <w:spacing w:val="-8"/>
        </w:rPr>
        <w:t xml:space="preserve"> </w:t>
      </w:r>
      <w:r>
        <w:t>given.</w:t>
      </w:r>
    </w:p>
    <w:p w:rsidR="00B22D55" w:rsidRDefault="00632B5E">
      <w:pPr>
        <w:pStyle w:val="ListParagraph"/>
        <w:numPr>
          <w:ilvl w:val="1"/>
          <w:numId w:val="2"/>
        </w:numPr>
        <w:tabs>
          <w:tab w:val="left" w:pos="1377"/>
          <w:tab w:val="left" w:pos="1378"/>
        </w:tabs>
        <w:ind w:right="965" w:hanging="360"/>
      </w:pPr>
      <w:r>
        <w:t xml:space="preserve">Access for remote users shall be subject to </w:t>
      </w:r>
      <w:proofErr w:type="spellStart"/>
      <w:r>
        <w:t>authorisation</w:t>
      </w:r>
      <w:proofErr w:type="spellEnd"/>
      <w:r>
        <w:t xml:space="preserve"> by line managers via the Transformation Service. No uncontrolled external access shall be permitted to any network device or networked</w:t>
      </w:r>
      <w:r>
        <w:rPr>
          <w:spacing w:val="-7"/>
        </w:rPr>
        <w:t xml:space="preserve"> </w:t>
      </w:r>
      <w:r>
        <w:t>system.</w:t>
      </w:r>
    </w:p>
    <w:p w:rsidR="00B22D55" w:rsidRDefault="00632B5E">
      <w:pPr>
        <w:pStyle w:val="ListParagraph"/>
        <w:numPr>
          <w:ilvl w:val="1"/>
          <w:numId w:val="2"/>
        </w:numPr>
        <w:tabs>
          <w:tab w:val="left" w:pos="1377"/>
          <w:tab w:val="left" w:pos="1378"/>
        </w:tabs>
        <w:ind w:right="710" w:hanging="360"/>
      </w:pPr>
      <w:r>
        <w:t>The applicati</w:t>
      </w:r>
      <w:r>
        <w:t xml:space="preserve">on and all other documentation should be maintained in line with the </w:t>
      </w:r>
      <w:proofErr w:type="gramStart"/>
      <w:r>
        <w:t>safe haven</w:t>
      </w:r>
      <w:proofErr w:type="gramEnd"/>
      <w:r>
        <w:rPr>
          <w:spacing w:val="-3"/>
        </w:rPr>
        <w:t xml:space="preserve"> </w:t>
      </w:r>
      <w:r>
        <w:t>guidance.</w:t>
      </w:r>
    </w:p>
    <w:p w:rsidR="00B22D55" w:rsidRDefault="00632B5E">
      <w:pPr>
        <w:pStyle w:val="ListParagraph"/>
        <w:numPr>
          <w:ilvl w:val="1"/>
          <w:numId w:val="2"/>
        </w:numPr>
        <w:tabs>
          <w:tab w:val="left" w:pos="1377"/>
          <w:tab w:val="left" w:pos="1378"/>
        </w:tabs>
        <w:ind w:right="674" w:hanging="360"/>
      </w:pPr>
      <w:r>
        <w:t>Login banners should be used to remind users of their obligations when using the</w:t>
      </w:r>
      <w:r>
        <w:rPr>
          <w:spacing w:val="-1"/>
        </w:rPr>
        <w:t xml:space="preserve"> </w:t>
      </w:r>
      <w:r>
        <w:t>system</w:t>
      </w:r>
    </w:p>
    <w:p w:rsidR="00B22D55" w:rsidRDefault="00B22D55">
      <w:pPr>
        <w:sectPr w:rsidR="00B22D55">
          <w:pgSz w:w="11900" w:h="16840"/>
          <w:pgMar w:top="1380" w:right="1160" w:bottom="1160" w:left="1140" w:header="741" w:footer="964" w:gutter="0"/>
          <w:cols w:space="720"/>
        </w:sectPr>
      </w:pPr>
    </w:p>
    <w:p w:rsidR="00B22D55" w:rsidRDefault="00632B5E">
      <w:pPr>
        <w:pStyle w:val="BodyText"/>
        <w:spacing w:before="54"/>
        <w:ind w:left="657"/>
      </w:pPr>
      <w:r>
        <w:rPr>
          <w:u w:val="single"/>
        </w:rPr>
        <w:lastRenderedPageBreak/>
        <w:t>SYSTEMS/INFORMATION DE-REGISTRATION</w:t>
      </w:r>
    </w:p>
    <w:p w:rsidR="00B22D55" w:rsidRDefault="00B22D55">
      <w:pPr>
        <w:pStyle w:val="BodyText"/>
      </w:pPr>
    </w:p>
    <w:p w:rsidR="00B22D55" w:rsidRDefault="00632B5E">
      <w:pPr>
        <w:pStyle w:val="ListParagraph"/>
        <w:numPr>
          <w:ilvl w:val="1"/>
          <w:numId w:val="2"/>
        </w:numPr>
        <w:tabs>
          <w:tab w:val="left" w:pos="1377"/>
          <w:tab w:val="left" w:pos="1378"/>
        </w:tabs>
        <w:ind w:right="735" w:hanging="360"/>
      </w:pPr>
      <w:r>
        <w:t xml:space="preserve">If a member of staff changes role or their contract is terminated, the manager should ensure that a user’s access to the system/information has been reviewed or, if necessary, removed as soon as possible by the standard leavers/change process performed by </w:t>
      </w:r>
      <w:r>
        <w:t>SAP</w:t>
      </w:r>
      <w:r>
        <w:rPr>
          <w:spacing w:val="-10"/>
        </w:rPr>
        <w:t xml:space="preserve"> </w:t>
      </w:r>
      <w:r>
        <w:t>processes.</w:t>
      </w:r>
    </w:p>
    <w:p w:rsidR="00B22D55" w:rsidRDefault="00632B5E">
      <w:pPr>
        <w:pStyle w:val="ListParagraph"/>
        <w:numPr>
          <w:ilvl w:val="1"/>
          <w:numId w:val="2"/>
        </w:numPr>
        <w:tabs>
          <w:tab w:val="left" w:pos="1377"/>
          <w:tab w:val="left" w:pos="1378"/>
        </w:tabs>
        <w:ind w:right="720" w:hanging="360"/>
      </w:pPr>
      <w:r>
        <w:t xml:space="preserve">If a member of staff is deemed to have contravened any of the Information Security policies or procedures, potentially </w:t>
      </w:r>
      <w:proofErr w:type="spellStart"/>
      <w:r>
        <w:t>jeopardising</w:t>
      </w:r>
      <w:proofErr w:type="spellEnd"/>
      <w:r>
        <w:t xml:space="preserve"> the availability, confidentiality or integrity of any systems or information, their access rights to the syst</w:t>
      </w:r>
      <w:r>
        <w:t>em/information should be reviewed by the system</w:t>
      </w:r>
      <w:r>
        <w:rPr>
          <w:spacing w:val="-11"/>
        </w:rPr>
        <w:t xml:space="preserve"> </w:t>
      </w:r>
      <w:r>
        <w:t>owners.</w:t>
      </w:r>
    </w:p>
    <w:p w:rsidR="00B22D55" w:rsidRDefault="00632B5E">
      <w:pPr>
        <w:pStyle w:val="ListParagraph"/>
        <w:numPr>
          <w:ilvl w:val="1"/>
          <w:numId w:val="2"/>
        </w:numPr>
        <w:tabs>
          <w:tab w:val="left" w:pos="1377"/>
          <w:tab w:val="left" w:pos="1378"/>
        </w:tabs>
        <w:ind w:right="684" w:hanging="360"/>
      </w:pPr>
      <w:r>
        <w:t xml:space="preserve">If a specific access limit is exceeded or control circumvented several times by a </w:t>
      </w:r>
      <w:proofErr w:type="gramStart"/>
      <w:r>
        <w:t>user</w:t>
      </w:r>
      <w:proofErr w:type="gramEnd"/>
      <w:r>
        <w:t xml:space="preserve"> the manager should review the access rights of the user and if necessary remind the user of the relevant access a</w:t>
      </w:r>
      <w:r>
        <w:t>nd</w:t>
      </w:r>
      <w:r>
        <w:rPr>
          <w:spacing w:val="-11"/>
        </w:rPr>
        <w:t xml:space="preserve"> </w:t>
      </w:r>
      <w:r>
        <w:t>security.</w:t>
      </w:r>
    </w:p>
    <w:p w:rsidR="00B22D55" w:rsidRDefault="00632B5E">
      <w:pPr>
        <w:pStyle w:val="ListParagraph"/>
        <w:numPr>
          <w:ilvl w:val="1"/>
          <w:numId w:val="2"/>
        </w:numPr>
        <w:tabs>
          <w:tab w:val="left" w:pos="1377"/>
          <w:tab w:val="left" w:pos="1378"/>
        </w:tabs>
        <w:ind w:right="835" w:hanging="360"/>
      </w:pPr>
      <w:r>
        <w:t xml:space="preserve">If </w:t>
      </w:r>
      <w:proofErr w:type="gramStart"/>
      <w:r>
        <w:t>a number of</w:t>
      </w:r>
      <w:proofErr w:type="gramEnd"/>
      <w:r>
        <w:t xml:space="preserve"> unsuccessful log-on attempts is exceeded, the user will be informed that they need to contact the system owners or the Transformation Service desk to ask for access rights to be re-established. In these circumstances, access rig</w:t>
      </w:r>
      <w:r>
        <w:t>hts may need to be</w:t>
      </w:r>
      <w:r>
        <w:rPr>
          <w:spacing w:val="-12"/>
        </w:rPr>
        <w:t xml:space="preserve"> </w:t>
      </w:r>
      <w:r>
        <w:t>reviewed.</w:t>
      </w:r>
    </w:p>
    <w:p w:rsidR="00B22D55" w:rsidRDefault="00632B5E">
      <w:pPr>
        <w:pStyle w:val="ListParagraph"/>
        <w:numPr>
          <w:ilvl w:val="1"/>
          <w:numId w:val="2"/>
        </w:numPr>
        <w:tabs>
          <w:tab w:val="left" w:pos="1377"/>
          <w:tab w:val="left" w:pos="1378"/>
        </w:tabs>
        <w:ind w:right="787" w:hanging="360"/>
      </w:pPr>
      <w:r>
        <w:t>If it is deemed that it is no longer appropriate or necessary for a user to</w:t>
      </w:r>
      <w:r>
        <w:rPr>
          <w:spacing w:val="-33"/>
        </w:rPr>
        <w:t xml:space="preserve"> </w:t>
      </w:r>
      <w:r>
        <w:t xml:space="preserve">have access to systems and/or </w:t>
      </w:r>
      <w:proofErr w:type="gramStart"/>
      <w:r>
        <w:t>information</w:t>
      </w:r>
      <w:proofErr w:type="gramEnd"/>
      <w:r>
        <w:t xml:space="preserve"> then the user’s manager will need to inform the owners of the system/information that access rights should be</w:t>
      </w:r>
      <w:r>
        <w:t xml:space="preserve"> altered/removed</w:t>
      </w:r>
      <w:r>
        <w:rPr>
          <w:spacing w:val="-1"/>
        </w:rPr>
        <w:t xml:space="preserve"> </w:t>
      </w:r>
      <w:r>
        <w:t>immediately.</w:t>
      </w:r>
    </w:p>
    <w:p w:rsidR="00B22D55" w:rsidRDefault="00632B5E">
      <w:pPr>
        <w:pStyle w:val="ListParagraph"/>
        <w:numPr>
          <w:ilvl w:val="1"/>
          <w:numId w:val="2"/>
        </w:numPr>
        <w:tabs>
          <w:tab w:val="left" w:pos="1377"/>
          <w:tab w:val="left" w:pos="1378"/>
        </w:tabs>
        <w:ind w:right="1616" w:hanging="360"/>
      </w:pPr>
      <w:r>
        <w:t>If any system/information rights are altered or removed, the relevant documentation will need to be updated</w:t>
      </w:r>
      <w:r>
        <w:rPr>
          <w:spacing w:val="-8"/>
        </w:rPr>
        <w:t xml:space="preserve"> </w:t>
      </w:r>
      <w:r>
        <w:t>accordingly.</w:t>
      </w:r>
    </w:p>
    <w:p w:rsidR="00B22D55" w:rsidRDefault="00B22D55">
      <w:pPr>
        <w:pStyle w:val="BodyText"/>
        <w:spacing w:before="1"/>
        <w:rPr>
          <w:sz w:val="21"/>
        </w:rPr>
      </w:pPr>
    </w:p>
    <w:p w:rsidR="00B22D55" w:rsidRDefault="00632B5E">
      <w:pPr>
        <w:pStyle w:val="BodyText"/>
        <w:spacing w:line="252" w:lineRule="exact"/>
        <w:ind w:left="657"/>
      </w:pPr>
      <w:r>
        <w:rPr>
          <w:u w:val="single"/>
        </w:rPr>
        <w:t>LOG-ON CONSIDERATIONS</w:t>
      </w:r>
    </w:p>
    <w:p w:rsidR="00B22D55" w:rsidRDefault="00632B5E">
      <w:pPr>
        <w:pStyle w:val="BodyText"/>
        <w:spacing w:line="252" w:lineRule="exact"/>
        <w:ind w:left="657"/>
      </w:pPr>
      <w:r>
        <w:pict>
          <v:rect id="_x0000_s1026" style="position:absolute;left:0;text-align:left;margin-left:89.9pt;margin-top:11.5pt;width:3pt;height:.85pt;z-index:1024;mso-position-horizontal-relative:page" fillcolor="black" stroked="f">
            <w10:wrap anchorx="page"/>
          </v:rect>
        </w:pict>
      </w:r>
      <w:r>
        <w:t>.</w:t>
      </w:r>
    </w:p>
    <w:p w:rsidR="00B22D55" w:rsidRDefault="00632B5E">
      <w:pPr>
        <w:pStyle w:val="ListParagraph"/>
        <w:numPr>
          <w:ilvl w:val="1"/>
          <w:numId w:val="2"/>
        </w:numPr>
        <w:tabs>
          <w:tab w:val="left" w:pos="1377"/>
          <w:tab w:val="left" w:pos="1378"/>
        </w:tabs>
        <w:spacing w:before="4" w:line="237" w:lineRule="auto"/>
        <w:ind w:right="870" w:hanging="360"/>
      </w:pPr>
      <w:r>
        <w:t xml:space="preserve">All systems should be accessed by secure authentication of user validation. As </w:t>
      </w:r>
      <w:r>
        <w:t>a minimum this should entail use of a User name and a</w:t>
      </w:r>
      <w:r>
        <w:rPr>
          <w:spacing w:val="-15"/>
        </w:rPr>
        <w:t xml:space="preserve"> </w:t>
      </w:r>
      <w:r>
        <w:t>Password.</w:t>
      </w:r>
    </w:p>
    <w:p w:rsidR="00B22D55" w:rsidRDefault="00632B5E">
      <w:pPr>
        <w:pStyle w:val="ListParagraph"/>
        <w:numPr>
          <w:ilvl w:val="1"/>
          <w:numId w:val="2"/>
        </w:numPr>
        <w:tabs>
          <w:tab w:val="left" w:pos="1377"/>
          <w:tab w:val="left" w:pos="1378"/>
        </w:tabs>
        <w:spacing w:before="3" w:line="237" w:lineRule="auto"/>
        <w:ind w:right="722" w:hanging="360"/>
      </w:pPr>
      <w:r>
        <w:t xml:space="preserve">Logon to systems/information should only be attempted using </w:t>
      </w:r>
      <w:proofErr w:type="spellStart"/>
      <w:r>
        <w:t>authorised</w:t>
      </w:r>
      <w:proofErr w:type="spellEnd"/>
      <w:r>
        <w:t xml:space="preserve"> and correctly configured equipment in accordance with Council</w:t>
      </w:r>
      <w:r>
        <w:rPr>
          <w:spacing w:val="-13"/>
        </w:rPr>
        <w:t xml:space="preserve"> </w:t>
      </w:r>
      <w:r>
        <w:t>policies.</w:t>
      </w:r>
    </w:p>
    <w:p w:rsidR="00B22D55" w:rsidRDefault="00632B5E">
      <w:pPr>
        <w:pStyle w:val="ListParagraph"/>
        <w:numPr>
          <w:ilvl w:val="1"/>
          <w:numId w:val="2"/>
        </w:numPr>
        <w:tabs>
          <w:tab w:val="left" w:pos="1377"/>
          <w:tab w:val="left" w:pos="1378"/>
        </w:tabs>
        <w:spacing w:before="2"/>
        <w:ind w:right="1285" w:hanging="360"/>
      </w:pPr>
      <w:r>
        <w:t xml:space="preserve">After successful logon users should ensure that equipment is not left unattended and active sessions are terminated or locked as necessary. Systems should be logged off, </w:t>
      </w:r>
      <w:proofErr w:type="gramStart"/>
      <w:r>
        <w:t>closed down</w:t>
      </w:r>
      <w:proofErr w:type="gramEnd"/>
      <w:r>
        <w:t xml:space="preserve"> or terminated as soon as possible.</w:t>
      </w:r>
    </w:p>
    <w:p w:rsidR="00B22D55" w:rsidRDefault="00632B5E">
      <w:pPr>
        <w:pStyle w:val="ListParagraph"/>
        <w:numPr>
          <w:ilvl w:val="1"/>
          <w:numId w:val="2"/>
        </w:numPr>
        <w:tabs>
          <w:tab w:val="left" w:pos="1377"/>
          <w:tab w:val="left" w:pos="1378"/>
        </w:tabs>
        <w:spacing w:line="266" w:lineRule="exact"/>
        <w:ind w:hanging="360"/>
      </w:pPr>
      <w:r>
        <w:t>System logon data should not be copied, shared or written</w:t>
      </w:r>
      <w:r>
        <w:rPr>
          <w:spacing w:val="-6"/>
        </w:rPr>
        <w:t xml:space="preserve"> </w:t>
      </w:r>
      <w:r>
        <w:t>down.</w:t>
      </w:r>
    </w:p>
    <w:p w:rsidR="00B22D55" w:rsidRDefault="00B22D55">
      <w:pPr>
        <w:pStyle w:val="BodyText"/>
        <w:spacing w:before="10"/>
        <w:rPr>
          <w:sz w:val="21"/>
        </w:rPr>
      </w:pPr>
    </w:p>
    <w:p w:rsidR="00B22D55" w:rsidRDefault="00632B5E">
      <w:pPr>
        <w:pStyle w:val="BodyText"/>
        <w:ind w:left="657"/>
      </w:pPr>
      <w:r>
        <w:rPr>
          <w:u w:val="single"/>
        </w:rPr>
        <w:t>PHYSICAL ACCESS AND CONTROLS</w:t>
      </w:r>
    </w:p>
    <w:p w:rsidR="00B22D55" w:rsidRDefault="00B22D55">
      <w:pPr>
        <w:pStyle w:val="BodyText"/>
        <w:spacing w:before="5"/>
        <w:rPr>
          <w:sz w:val="16"/>
        </w:rPr>
      </w:pPr>
    </w:p>
    <w:p w:rsidR="00B22D55" w:rsidRDefault="00632B5E">
      <w:pPr>
        <w:pStyle w:val="BodyText"/>
        <w:spacing w:before="64"/>
        <w:ind w:left="657" w:right="925"/>
      </w:pPr>
      <w:r>
        <w:t>Maintaining the physical security of offices and rooms where information, data and processing facilities are accessed and located is vitally important. There mus</w:t>
      </w:r>
      <w:r>
        <w:t>t be methods of physically securing access to protect information and data:</w:t>
      </w:r>
    </w:p>
    <w:p w:rsidR="00B22D55" w:rsidRDefault="00B22D55">
      <w:pPr>
        <w:pStyle w:val="BodyText"/>
        <w:spacing w:before="1"/>
      </w:pPr>
    </w:p>
    <w:p w:rsidR="00B22D55" w:rsidRDefault="00632B5E">
      <w:pPr>
        <w:pStyle w:val="ListParagraph"/>
        <w:numPr>
          <w:ilvl w:val="0"/>
          <w:numId w:val="1"/>
        </w:numPr>
        <w:tabs>
          <w:tab w:val="left" w:pos="1378"/>
        </w:tabs>
        <w:ind w:right="671"/>
      </w:pPr>
      <w:r>
        <w:t>Staff should wear their Council ID badges and visitors must wear the Visitor ID badges which have been issued to them. People who are not displaying ID badges should be challenged</w:t>
      </w:r>
      <w:r>
        <w:t xml:space="preserve">. Any person not known to location personnel must be challenged </w:t>
      </w:r>
      <w:proofErr w:type="gramStart"/>
      <w:r>
        <w:t>in order to</w:t>
      </w:r>
      <w:proofErr w:type="gramEnd"/>
      <w:r>
        <w:t xml:space="preserve"> establish who they are and whether </w:t>
      </w:r>
      <w:proofErr w:type="spellStart"/>
      <w:r>
        <w:t>authorisation</w:t>
      </w:r>
      <w:proofErr w:type="spellEnd"/>
      <w:r>
        <w:t xml:space="preserve"> has been provided for them to be there. If there is any doubt about the identity of the individual, the appropriate security office</w:t>
      </w:r>
      <w:r>
        <w:t>r/manager should be contacted to confirm the individual’s identity. Staff in residential establishments will need to check their local procedures whilst working inside the</w:t>
      </w:r>
      <w:r>
        <w:rPr>
          <w:spacing w:val="-1"/>
        </w:rPr>
        <w:t xml:space="preserve"> </w:t>
      </w:r>
      <w:r>
        <w:t>home.</w:t>
      </w:r>
    </w:p>
    <w:p w:rsidR="00B22D55" w:rsidRDefault="00B22D55">
      <w:pPr>
        <w:pStyle w:val="BodyText"/>
      </w:pPr>
    </w:p>
    <w:p w:rsidR="00B22D55" w:rsidRDefault="00632B5E">
      <w:pPr>
        <w:pStyle w:val="ListParagraph"/>
        <w:numPr>
          <w:ilvl w:val="0"/>
          <w:numId w:val="1"/>
        </w:numPr>
        <w:tabs>
          <w:tab w:val="left" w:pos="1378"/>
        </w:tabs>
        <w:ind w:right="810"/>
      </w:pPr>
      <w:r>
        <w:t>Appropriate recording mechanisms need to be in place to record the names, dat</w:t>
      </w:r>
      <w:r>
        <w:t>es, times and signatures for the signing in and out of visitors</w:t>
      </w:r>
      <w:r>
        <w:rPr>
          <w:spacing w:val="-24"/>
        </w:rPr>
        <w:t xml:space="preserve"> </w:t>
      </w:r>
      <w:r>
        <w:t>(including</w:t>
      </w:r>
    </w:p>
    <w:p w:rsidR="00B22D55" w:rsidRDefault="00B22D55">
      <w:pPr>
        <w:sectPr w:rsidR="00B22D55">
          <w:pgSz w:w="11900" w:h="16840"/>
          <w:pgMar w:top="1380" w:right="1160" w:bottom="1160" w:left="1140" w:header="741" w:footer="964" w:gutter="0"/>
          <w:cols w:space="720"/>
        </w:sectPr>
      </w:pPr>
    </w:p>
    <w:p w:rsidR="00B22D55" w:rsidRDefault="00632B5E">
      <w:pPr>
        <w:pStyle w:val="BodyText"/>
        <w:spacing w:before="54"/>
        <w:ind w:left="1377" w:right="988"/>
      </w:pPr>
      <w:r>
        <w:lastRenderedPageBreak/>
        <w:t xml:space="preserve">Council personnel) to Council locations. All visitors must be issued with an </w:t>
      </w:r>
      <w:proofErr w:type="spellStart"/>
      <w:r>
        <w:t>authorised</w:t>
      </w:r>
      <w:proofErr w:type="spellEnd"/>
      <w:r>
        <w:t xml:space="preserve"> Council </w:t>
      </w:r>
      <w:proofErr w:type="gramStart"/>
      <w:r>
        <w:t>visitors</w:t>
      </w:r>
      <w:proofErr w:type="gramEnd"/>
      <w:r>
        <w:t xml:space="preserve"> badge when signing in.</w:t>
      </w:r>
    </w:p>
    <w:p w:rsidR="00B22D55" w:rsidRDefault="00B22D55">
      <w:pPr>
        <w:pStyle w:val="BodyText"/>
        <w:spacing w:before="11"/>
        <w:rPr>
          <w:sz w:val="21"/>
        </w:rPr>
      </w:pPr>
    </w:p>
    <w:p w:rsidR="00B22D55" w:rsidRDefault="00632B5E">
      <w:pPr>
        <w:pStyle w:val="ListParagraph"/>
        <w:numPr>
          <w:ilvl w:val="0"/>
          <w:numId w:val="1"/>
        </w:numPr>
        <w:tabs>
          <w:tab w:val="left" w:pos="1378"/>
        </w:tabs>
        <w:ind w:right="636"/>
      </w:pPr>
      <w:r>
        <w:t>The use of keys to buildings, rooms, secure cabinets, safes etc. must be controlled and recorded. Keys must be stored in secure areas/locked cabinets when not in use and must be identifiable by recording serial/ID markings of all keys. The location of keys</w:t>
      </w:r>
      <w:r>
        <w:t xml:space="preserve"> </w:t>
      </w:r>
      <w:proofErr w:type="gramStart"/>
      <w:r>
        <w:t>must be known at all times</w:t>
      </w:r>
      <w:proofErr w:type="gramEnd"/>
      <w:r>
        <w:t xml:space="preserve"> and a signing in/out recording mechanism must be maintained to record the serial/ID of keys against individual names when keys are</w:t>
      </w:r>
      <w:r>
        <w:rPr>
          <w:spacing w:val="-3"/>
        </w:rPr>
        <w:t xml:space="preserve"> </w:t>
      </w:r>
      <w:r>
        <w:t>used.</w:t>
      </w:r>
    </w:p>
    <w:p w:rsidR="00B22D55" w:rsidRDefault="00B22D55">
      <w:pPr>
        <w:pStyle w:val="BodyText"/>
      </w:pPr>
    </w:p>
    <w:p w:rsidR="00B22D55" w:rsidRDefault="00632B5E">
      <w:pPr>
        <w:pStyle w:val="ListParagraph"/>
        <w:numPr>
          <w:ilvl w:val="0"/>
          <w:numId w:val="1"/>
        </w:numPr>
        <w:tabs>
          <w:tab w:val="left" w:pos="1378"/>
        </w:tabs>
        <w:ind w:right="916"/>
      </w:pPr>
      <w:r>
        <w:t xml:space="preserve">Electronic access fobs must be issued to </w:t>
      </w:r>
      <w:proofErr w:type="spellStart"/>
      <w:r>
        <w:t>authorised</w:t>
      </w:r>
      <w:proofErr w:type="spellEnd"/>
      <w:r>
        <w:t xml:space="preserve"> staff on an individual basis. Staff is</w:t>
      </w:r>
      <w:r>
        <w:t>sued with access fobs must have their names and employee numbers recorded against the registered access fob number including date and time of</w:t>
      </w:r>
      <w:r>
        <w:rPr>
          <w:spacing w:val="-1"/>
        </w:rPr>
        <w:t xml:space="preserve"> </w:t>
      </w:r>
      <w:r>
        <w:t>issue</w:t>
      </w:r>
    </w:p>
    <w:p w:rsidR="00B22D55" w:rsidRDefault="00B22D55">
      <w:pPr>
        <w:pStyle w:val="BodyText"/>
      </w:pPr>
    </w:p>
    <w:p w:rsidR="00B22D55" w:rsidRDefault="00632B5E">
      <w:pPr>
        <w:pStyle w:val="ListParagraph"/>
        <w:numPr>
          <w:ilvl w:val="0"/>
          <w:numId w:val="1"/>
        </w:numPr>
        <w:tabs>
          <w:tab w:val="left" w:pos="1378"/>
        </w:tabs>
        <w:ind w:right="672"/>
      </w:pPr>
      <w:r>
        <w:t>Access fobs should only be used by the registered user and must not be lent out or given to other staff, re</w:t>
      </w:r>
      <w:r>
        <w:t xml:space="preserve">gardless of their seniority. In emergency situations, </w:t>
      </w:r>
      <w:proofErr w:type="spellStart"/>
      <w:r>
        <w:t>authorised</w:t>
      </w:r>
      <w:proofErr w:type="spellEnd"/>
      <w:r>
        <w:t xml:space="preserve"> personnel may be permitted to use another </w:t>
      </w:r>
      <w:proofErr w:type="spellStart"/>
      <w:r>
        <w:t>authorised</w:t>
      </w:r>
      <w:proofErr w:type="spellEnd"/>
      <w:r>
        <w:t xml:space="preserve"> person’s fob if available with permission of the line manager and the recorded user must either be present or be made aware that their fob</w:t>
      </w:r>
      <w:r>
        <w:t xml:space="preserve"> is being used. Any such use must be recorded and maintained in a logging system for this type of</w:t>
      </w:r>
      <w:r>
        <w:rPr>
          <w:spacing w:val="3"/>
        </w:rPr>
        <w:t xml:space="preserve"> </w:t>
      </w:r>
      <w:r>
        <w:t>event</w:t>
      </w:r>
    </w:p>
    <w:p w:rsidR="00B22D55" w:rsidRDefault="00B22D55">
      <w:pPr>
        <w:pStyle w:val="BodyText"/>
        <w:spacing w:before="11"/>
        <w:rPr>
          <w:sz w:val="21"/>
        </w:rPr>
      </w:pPr>
    </w:p>
    <w:p w:rsidR="00B22D55" w:rsidRDefault="00632B5E">
      <w:pPr>
        <w:pStyle w:val="ListParagraph"/>
        <w:numPr>
          <w:ilvl w:val="0"/>
          <w:numId w:val="1"/>
        </w:numPr>
        <w:tabs>
          <w:tab w:val="left" w:pos="1378"/>
        </w:tabs>
        <w:ind w:right="661"/>
      </w:pPr>
      <w:r>
        <w:t>Access fobs issued to personnel who no longer work for the Council must be deactivated and recovered immediately – a record of this action must be kept</w:t>
      </w:r>
      <w:r>
        <w:t>, using an official recording system</w:t>
      </w:r>
    </w:p>
    <w:p w:rsidR="00B22D55" w:rsidRDefault="00B22D55">
      <w:pPr>
        <w:pStyle w:val="BodyText"/>
        <w:spacing w:before="1"/>
      </w:pPr>
    </w:p>
    <w:p w:rsidR="00B22D55" w:rsidRDefault="00632B5E">
      <w:pPr>
        <w:pStyle w:val="ListParagraph"/>
        <w:numPr>
          <w:ilvl w:val="0"/>
          <w:numId w:val="1"/>
        </w:numPr>
        <w:tabs>
          <w:tab w:val="left" w:pos="1378"/>
        </w:tabs>
        <w:ind w:right="981"/>
      </w:pPr>
      <w:r>
        <w:t xml:space="preserve">Locations housing critical or sensitive information and/or information processing facilities should have a secure, physically sound perimeter with suitable controls and restrictions allowing access to </w:t>
      </w:r>
      <w:proofErr w:type="spellStart"/>
      <w:r>
        <w:t>authorised</w:t>
      </w:r>
      <w:proofErr w:type="spellEnd"/>
      <w:r>
        <w:t xml:space="preserve"> staff </w:t>
      </w:r>
      <w:r>
        <w:t>only. CCTV and audible alarm systems should be active in areas where critical servers are located, such as in the data</w:t>
      </w:r>
      <w:r>
        <w:rPr>
          <w:spacing w:val="-9"/>
        </w:rPr>
        <w:t xml:space="preserve"> </w:t>
      </w:r>
      <w:proofErr w:type="spellStart"/>
      <w:r>
        <w:t>centre</w:t>
      </w:r>
      <w:proofErr w:type="spellEnd"/>
      <w:r>
        <w:t>.</w:t>
      </w:r>
    </w:p>
    <w:p w:rsidR="00B22D55" w:rsidRDefault="00B22D55">
      <w:pPr>
        <w:pStyle w:val="BodyText"/>
        <w:spacing w:before="10"/>
        <w:rPr>
          <w:sz w:val="21"/>
        </w:rPr>
      </w:pPr>
    </w:p>
    <w:p w:rsidR="00B22D55" w:rsidRDefault="00632B5E">
      <w:pPr>
        <w:pStyle w:val="ListParagraph"/>
        <w:numPr>
          <w:ilvl w:val="0"/>
          <w:numId w:val="1"/>
        </w:numPr>
        <w:tabs>
          <w:tab w:val="left" w:pos="1378"/>
        </w:tabs>
        <w:ind w:right="648"/>
      </w:pPr>
      <w:r>
        <w:t>Observance and maintenance of the physical security of rooms and offices where PCs and/or critical information processing equipm</w:t>
      </w:r>
      <w:r>
        <w:t>ent is located needs to be a paramount consideration. For example, do not house critical equipment in publicly accessible locations, close to windows, in areas where theft is a high risk. Locate servers and business critical equipment in locations with ade</w:t>
      </w:r>
      <w:r>
        <w:t>quate environmental and fire</w:t>
      </w:r>
      <w:r>
        <w:rPr>
          <w:spacing w:val="-8"/>
        </w:rPr>
        <w:t xml:space="preserve"> </w:t>
      </w:r>
      <w:r>
        <w:t>controls.</w:t>
      </w:r>
    </w:p>
    <w:p w:rsidR="00B22D55" w:rsidRDefault="00B22D55">
      <w:pPr>
        <w:pStyle w:val="BodyText"/>
        <w:spacing w:before="1"/>
      </w:pPr>
    </w:p>
    <w:p w:rsidR="00B22D55" w:rsidRDefault="00632B5E">
      <w:pPr>
        <w:pStyle w:val="ListParagraph"/>
        <w:numPr>
          <w:ilvl w:val="0"/>
          <w:numId w:val="1"/>
        </w:numPr>
        <w:tabs>
          <w:tab w:val="left" w:pos="1378"/>
        </w:tabs>
        <w:ind w:right="1065"/>
      </w:pPr>
      <w:r>
        <w:t>Access to information processing systems will only be allocated to staff following any required legal/council checks. If required, usage policies will also need to be signed by</w:t>
      </w:r>
      <w:r>
        <w:rPr>
          <w:spacing w:val="-9"/>
        </w:rPr>
        <w:t xml:space="preserve"> </w:t>
      </w:r>
      <w:r>
        <w:t>staff.</w:t>
      </w:r>
    </w:p>
    <w:p w:rsidR="00B22D55" w:rsidRDefault="00B22D55">
      <w:pPr>
        <w:pStyle w:val="BodyText"/>
      </w:pPr>
    </w:p>
    <w:p w:rsidR="00B22D55" w:rsidRDefault="00632B5E">
      <w:pPr>
        <w:pStyle w:val="ListParagraph"/>
        <w:numPr>
          <w:ilvl w:val="0"/>
          <w:numId w:val="1"/>
        </w:numPr>
        <w:tabs>
          <w:tab w:val="left" w:pos="1378"/>
        </w:tabs>
        <w:spacing w:before="1"/>
        <w:ind w:right="821"/>
      </w:pPr>
      <w:r>
        <w:t>All interfaces used for managing system administration and enabling access to information processing must be appropriately</w:t>
      </w:r>
      <w:r>
        <w:rPr>
          <w:spacing w:val="-8"/>
        </w:rPr>
        <w:t xml:space="preserve"> </w:t>
      </w:r>
      <w:r>
        <w:t>secured.</w:t>
      </w:r>
    </w:p>
    <w:p w:rsidR="00B22D55" w:rsidRDefault="00B22D55">
      <w:pPr>
        <w:pStyle w:val="BodyText"/>
        <w:spacing w:before="10"/>
        <w:rPr>
          <w:sz w:val="21"/>
        </w:rPr>
      </w:pPr>
    </w:p>
    <w:p w:rsidR="00B22D55" w:rsidRDefault="00632B5E">
      <w:pPr>
        <w:pStyle w:val="ListParagraph"/>
        <w:numPr>
          <w:ilvl w:val="0"/>
          <w:numId w:val="1"/>
        </w:numPr>
        <w:tabs>
          <w:tab w:val="left" w:pos="1378"/>
        </w:tabs>
        <w:spacing w:before="1"/>
        <w:ind w:right="662"/>
      </w:pPr>
      <w:r>
        <w:t xml:space="preserve">Access to and knowledge of key fobs, door lock codes or access to keys for locks, are restricted to </w:t>
      </w:r>
      <w:proofErr w:type="spellStart"/>
      <w:r>
        <w:t>authorised</w:t>
      </w:r>
      <w:proofErr w:type="spellEnd"/>
      <w:r>
        <w:t xml:space="preserve"> personnel on</w:t>
      </w:r>
      <w:r>
        <w:t xml:space="preserve">ly and must not be shared with any </w:t>
      </w:r>
      <w:proofErr w:type="spellStart"/>
      <w:r>
        <w:t>unauthorised</w:t>
      </w:r>
      <w:proofErr w:type="spellEnd"/>
      <w:r>
        <w:rPr>
          <w:spacing w:val="-3"/>
        </w:rPr>
        <w:t xml:space="preserve"> </w:t>
      </w:r>
      <w:r>
        <w:t>person.</w:t>
      </w:r>
    </w:p>
    <w:p w:rsidR="00B22D55" w:rsidRDefault="00B22D55">
      <w:pPr>
        <w:pStyle w:val="BodyText"/>
      </w:pPr>
    </w:p>
    <w:p w:rsidR="00B22D55" w:rsidRDefault="00632B5E">
      <w:pPr>
        <w:pStyle w:val="ListParagraph"/>
        <w:numPr>
          <w:ilvl w:val="0"/>
          <w:numId w:val="1"/>
        </w:numPr>
        <w:tabs>
          <w:tab w:val="left" w:pos="1378"/>
        </w:tabs>
        <w:ind w:right="893"/>
      </w:pPr>
      <w:r>
        <w:t>Access codes used for secure locking mechanisms must be changed every three months as a minimum or more regularly as specified by the location manager in line with professional best practice. Outside</w:t>
      </w:r>
      <w:r>
        <w:t xml:space="preserve"> of County Hall</w:t>
      </w:r>
      <w:r>
        <w:rPr>
          <w:spacing w:val="-17"/>
        </w:rPr>
        <w:t xml:space="preserve"> </w:t>
      </w:r>
      <w:r>
        <w:t>a</w:t>
      </w:r>
    </w:p>
    <w:p w:rsidR="00B22D55" w:rsidRDefault="00B22D55">
      <w:pPr>
        <w:sectPr w:rsidR="00B22D55">
          <w:pgSz w:w="11900" w:h="16840"/>
          <w:pgMar w:top="1380" w:right="1160" w:bottom="1160" w:left="1140" w:header="741" w:footer="964" w:gutter="0"/>
          <w:cols w:space="720"/>
        </w:sectPr>
      </w:pPr>
    </w:p>
    <w:p w:rsidR="00B22D55" w:rsidRDefault="00632B5E">
      <w:pPr>
        <w:pStyle w:val="BodyText"/>
        <w:spacing w:before="54"/>
        <w:ind w:left="1377" w:right="632"/>
      </w:pPr>
      <w:r>
        <w:lastRenderedPageBreak/>
        <w:t>record should be kept in a secure location of when the dates when the access codes are updated.</w:t>
      </w:r>
    </w:p>
    <w:p w:rsidR="00B22D55" w:rsidRDefault="00B22D55">
      <w:pPr>
        <w:pStyle w:val="BodyText"/>
        <w:spacing w:before="11"/>
        <w:rPr>
          <w:sz w:val="21"/>
        </w:rPr>
      </w:pPr>
    </w:p>
    <w:p w:rsidR="00B22D55" w:rsidRDefault="00632B5E">
      <w:pPr>
        <w:pStyle w:val="ListParagraph"/>
        <w:numPr>
          <w:ilvl w:val="0"/>
          <w:numId w:val="1"/>
        </w:numPr>
        <w:tabs>
          <w:tab w:val="left" w:pos="1378"/>
        </w:tabs>
        <w:ind w:right="696"/>
      </w:pPr>
      <w:r>
        <w:t xml:space="preserve">If electronic door locks/key fobs are in use they must be issued to </w:t>
      </w:r>
      <w:proofErr w:type="spellStart"/>
      <w:r>
        <w:t>authorised</w:t>
      </w:r>
      <w:proofErr w:type="spellEnd"/>
      <w:r>
        <w:t xml:space="preserve"> staff on an individual basis, be fully regis</w:t>
      </w:r>
      <w:r>
        <w:t>tered to that individual and only used by that individual. The key fob must be deactivated immediately when no longer required and registration details updated</w:t>
      </w:r>
      <w:r>
        <w:rPr>
          <w:spacing w:val="-8"/>
        </w:rPr>
        <w:t xml:space="preserve"> </w:t>
      </w:r>
      <w:r>
        <w:t>accordingly.</w:t>
      </w:r>
    </w:p>
    <w:p w:rsidR="00B22D55" w:rsidRDefault="00B22D55">
      <w:pPr>
        <w:pStyle w:val="BodyText"/>
      </w:pPr>
    </w:p>
    <w:p w:rsidR="00B22D55" w:rsidRDefault="00632B5E">
      <w:pPr>
        <w:pStyle w:val="ListParagraph"/>
        <w:numPr>
          <w:ilvl w:val="0"/>
          <w:numId w:val="1"/>
        </w:numPr>
        <w:tabs>
          <w:tab w:val="left" w:pos="1378"/>
        </w:tabs>
        <w:ind w:right="844"/>
      </w:pPr>
      <w:r>
        <w:t>Direct access to secure locations, or access to adjoining offices which could prov</w:t>
      </w:r>
      <w:r>
        <w:t>ide access, must be locked and secured using appropriate locking mechanisms.</w:t>
      </w:r>
    </w:p>
    <w:p w:rsidR="00B22D55" w:rsidRDefault="00B22D55">
      <w:pPr>
        <w:pStyle w:val="BodyText"/>
        <w:spacing w:before="1"/>
      </w:pPr>
    </w:p>
    <w:p w:rsidR="00B22D55" w:rsidRDefault="00632B5E">
      <w:pPr>
        <w:pStyle w:val="ListParagraph"/>
        <w:numPr>
          <w:ilvl w:val="0"/>
          <w:numId w:val="1"/>
        </w:numPr>
        <w:tabs>
          <w:tab w:val="left" w:pos="1378"/>
        </w:tabs>
        <w:ind w:right="894"/>
      </w:pPr>
      <w:r>
        <w:t>All Council/Contracted Cleaners must have and display appropriate identification and be made aware of the requirements within this</w:t>
      </w:r>
      <w:r>
        <w:rPr>
          <w:spacing w:val="-30"/>
        </w:rPr>
        <w:t xml:space="preserve"> </w:t>
      </w:r>
      <w:r>
        <w:t>procedure.</w:t>
      </w:r>
    </w:p>
    <w:p w:rsidR="00B22D55" w:rsidRDefault="00B22D55">
      <w:pPr>
        <w:pStyle w:val="BodyText"/>
        <w:spacing w:before="10"/>
        <w:rPr>
          <w:sz w:val="21"/>
        </w:rPr>
      </w:pPr>
    </w:p>
    <w:p w:rsidR="00B22D55" w:rsidRDefault="00632B5E">
      <w:pPr>
        <w:pStyle w:val="ListParagraph"/>
        <w:numPr>
          <w:ilvl w:val="0"/>
          <w:numId w:val="1"/>
        </w:numPr>
        <w:tabs>
          <w:tab w:val="left" w:pos="1378"/>
        </w:tabs>
        <w:spacing w:before="1"/>
        <w:ind w:right="858"/>
      </w:pPr>
      <w:r>
        <w:t>Personal, special access visits from relatives or acquaintances of personnel are not permitted within secure areas. There must be a valid reason for all visits and any such visitors must go through the standard signing in/out procedure.</w:t>
      </w:r>
    </w:p>
    <w:p w:rsidR="00B22D55" w:rsidRDefault="00B22D55">
      <w:pPr>
        <w:pStyle w:val="BodyText"/>
        <w:spacing w:before="11"/>
        <w:rPr>
          <w:sz w:val="21"/>
        </w:rPr>
      </w:pPr>
    </w:p>
    <w:p w:rsidR="00B22D55" w:rsidRDefault="00632B5E">
      <w:pPr>
        <w:pStyle w:val="ListParagraph"/>
        <w:numPr>
          <w:ilvl w:val="0"/>
          <w:numId w:val="1"/>
        </w:numPr>
        <w:tabs>
          <w:tab w:val="left" w:pos="1378"/>
        </w:tabs>
        <w:ind w:right="688"/>
      </w:pPr>
      <w:r>
        <w:t xml:space="preserve">Equipment should be sited to </w:t>
      </w:r>
      <w:proofErr w:type="spellStart"/>
      <w:r>
        <w:t>minimise</w:t>
      </w:r>
      <w:proofErr w:type="spellEnd"/>
      <w:r>
        <w:t xml:space="preserve"> unnecessary, </w:t>
      </w:r>
      <w:proofErr w:type="spellStart"/>
      <w:r>
        <w:t>unauthorised</w:t>
      </w:r>
      <w:proofErr w:type="spellEnd"/>
      <w:r>
        <w:t xml:space="preserve"> access into work areas. For example, refreshment units or office machinery designed for visitors should be placed in </w:t>
      </w:r>
      <w:proofErr w:type="gramStart"/>
      <w:r>
        <w:t>public</w:t>
      </w:r>
      <w:proofErr w:type="gramEnd"/>
      <w:r>
        <w:t xml:space="preserve"> accessible areas</w:t>
      </w:r>
      <w:r>
        <w:rPr>
          <w:spacing w:val="-6"/>
        </w:rPr>
        <w:t xml:space="preserve"> </w:t>
      </w:r>
      <w:r>
        <w:t>only.</w:t>
      </w:r>
    </w:p>
    <w:p w:rsidR="00B22D55" w:rsidRDefault="00B22D55">
      <w:pPr>
        <w:pStyle w:val="BodyText"/>
        <w:spacing w:before="7"/>
        <w:rPr>
          <w:sz w:val="20"/>
        </w:rPr>
      </w:pPr>
    </w:p>
    <w:p w:rsidR="00B22D55" w:rsidRDefault="00632B5E">
      <w:pPr>
        <w:pStyle w:val="Heading1"/>
        <w:numPr>
          <w:ilvl w:val="0"/>
          <w:numId w:val="2"/>
        </w:numPr>
        <w:tabs>
          <w:tab w:val="left" w:pos="1089"/>
          <w:tab w:val="left" w:pos="1090"/>
        </w:tabs>
        <w:spacing w:before="1"/>
      </w:pPr>
      <w:r>
        <w:t>Responsibilities</w:t>
      </w:r>
    </w:p>
    <w:p w:rsidR="00B22D55" w:rsidRDefault="00632B5E">
      <w:pPr>
        <w:pStyle w:val="BodyText"/>
        <w:spacing w:before="122"/>
        <w:ind w:left="657" w:right="765"/>
        <w:jc w:val="both"/>
      </w:pPr>
      <w:r>
        <w:t>Directors are responsible f</w:t>
      </w:r>
      <w:r>
        <w:t xml:space="preserve">or ensuring that all staff and managers are aware of security policies and that they are observed. Managers need to be aware they have a responsibility to ensure staff have </w:t>
      </w:r>
      <w:proofErr w:type="gramStart"/>
      <w:r>
        <w:t>sufficient</w:t>
      </w:r>
      <w:proofErr w:type="gramEnd"/>
      <w:r>
        <w:t xml:space="preserve">, relevant knowledge concerning the security of information and systems. </w:t>
      </w:r>
      <w:r>
        <w:t>Designated owners of systems, who have responsibility for the management of ICT systems and inherent information, need to ensure that staff have been made aware of their responsibilities toward security. Designated owners of systems and information need to</w:t>
      </w:r>
      <w:r>
        <w:t xml:space="preserve"> ensure they uphold the security policies and procedures.</w:t>
      </w:r>
    </w:p>
    <w:p w:rsidR="00B22D55" w:rsidRDefault="00B22D55">
      <w:pPr>
        <w:pStyle w:val="BodyText"/>
        <w:spacing w:before="9"/>
        <w:rPr>
          <w:sz w:val="20"/>
        </w:rPr>
      </w:pPr>
    </w:p>
    <w:p w:rsidR="00B22D55" w:rsidRDefault="00632B5E">
      <w:pPr>
        <w:pStyle w:val="Heading1"/>
        <w:numPr>
          <w:ilvl w:val="0"/>
          <w:numId w:val="2"/>
        </w:numPr>
        <w:tabs>
          <w:tab w:val="left" w:pos="1089"/>
          <w:tab w:val="left" w:pos="1090"/>
        </w:tabs>
      </w:pPr>
      <w:r>
        <w:t>Breaches of</w:t>
      </w:r>
      <w:r>
        <w:rPr>
          <w:spacing w:val="-1"/>
        </w:rPr>
        <w:t xml:space="preserve"> </w:t>
      </w:r>
      <w:r>
        <w:t>Policy</w:t>
      </w:r>
    </w:p>
    <w:p w:rsidR="00B22D55" w:rsidRDefault="00B22D55">
      <w:pPr>
        <w:pStyle w:val="BodyText"/>
        <w:spacing w:before="4"/>
        <w:rPr>
          <w:b/>
          <w:sz w:val="27"/>
        </w:rPr>
      </w:pPr>
    </w:p>
    <w:p w:rsidR="00B22D55" w:rsidRDefault="00632B5E">
      <w:pPr>
        <w:pStyle w:val="BodyText"/>
        <w:ind w:left="657" w:right="717"/>
      </w:pPr>
      <w:r>
        <w:t>Breaches of this policy and/or security incidents can be defined as events which could have, or have resulted in, loss or damage to Council assets, or an event which is in breac</w:t>
      </w:r>
      <w:r>
        <w:t>h of the Council’s security procedures and policies.</w:t>
      </w:r>
    </w:p>
    <w:p w:rsidR="00B22D55" w:rsidRDefault="00632B5E">
      <w:pPr>
        <w:pStyle w:val="BodyText"/>
        <w:ind w:left="657" w:right="790" w:hanging="1"/>
      </w:pPr>
      <w:r>
        <w:t>All Council employees, elected members, partner agencies, Third Parties and vendors have a responsibility to report security incidents and breaches of this policy as quickly as possible through the Counc</w:t>
      </w:r>
      <w:r>
        <w:t xml:space="preserve">il’s Incident Reporting Procedure. This obligation also extends to any external </w:t>
      </w:r>
      <w:proofErr w:type="spellStart"/>
      <w:r>
        <w:t>organisation</w:t>
      </w:r>
      <w:proofErr w:type="spellEnd"/>
      <w:r>
        <w:t xml:space="preserve"> contracted to support or access the Information Systems of the Council.</w:t>
      </w:r>
    </w:p>
    <w:p w:rsidR="00B22D55" w:rsidRDefault="00B22D55">
      <w:pPr>
        <w:pStyle w:val="BodyText"/>
        <w:spacing w:before="1"/>
      </w:pPr>
    </w:p>
    <w:p w:rsidR="00B22D55" w:rsidRDefault="00632B5E">
      <w:pPr>
        <w:pStyle w:val="BodyText"/>
        <w:ind w:left="657" w:right="845"/>
        <w:jc w:val="both"/>
      </w:pPr>
      <w:r>
        <w:t>The Council will take appropriate measures to remedy any breach of the policy and its asso</w:t>
      </w:r>
      <w:r>
        <w:t>ciated procedures and guidelines through the relevant frameworks in place. In the case of an employee then the matter may be dealt with under the disciplinary procedures.</w:t>
      </w:r>
    </w:p>
    <w:p w:rsidR="00B22D55" w:rsidRDefault="00B22D55">
      <w:pPr>
        <w:pStyle w:val="BodyText"/>
      </w:pPr>
    </w:p>
    <w:p w:rsidR="00B22D55" w:rsidRDefault="00B22D55">
      <w:pPr>
        <w:pStyle w:val="BodyText"/>
        <w:spacing w:before="3"/>
        <w:rPr>
          <w:sz w:val="32"/>
        </w:rPr>
      </w:pPr>
    </w:p>
    <w:p w:rsidR="00B22D55" w:rsidRDefault="00632B5E">
      <w:pPr>
        <w:spacing w:before="1"/>
        <w:ind w:left="657" w:right="900"/>
        <w:rPr>
          <w:b/>
          <w:i/>
        </w:rPr>
      </w:pPr>
      <w:r>
        <w:rPr>
          <w:b/>
          <w:i/>
        </w:rPr>
        <w:t xml:space="preserve">This document forms part of the Council's ISMS Policy and as such, must be </w:t>
      </w:r>
      <w:r>
        <w:rPr>
          <w:b/>
          <w:i/>
        </w:rPr>
        <w:t>fully complied with.</w:t>
      </w:r>
    </w:p>
    <w:sectPr w:rsidR="00B22D55">
      <w:pgSz w:w="11900" w:h="16840"/>
      <w:pgMar w:top="1380" w:right="1160" w:bottom="1160" w:left="1140" w:header="741"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B5E" w:rsidRDefault="00632B5E">
      <w:r>
        <w:separator/>
      </w:r>
    </w:p>
  </w:endnote>
  <w:endnote w:type="continuationSeparator" w:id="0">
    <w:p w:rsidR="00632B5E" w:rsidRDefault="0063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D55" w:rsidRDefault="00632B5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88.9pt;margin-top:782.8pt;width:52.55pt;height:12pt;z-index:-11992;mso-position-horizontal-relative:page;mso-position-vertical-relative:page" filled="f" stroked="f">
          <v:textbox inset="0,0,0,0">
            <w:txbxContent>
              <w:p w:rsidR="00B22D55" w:rsidRDefault="00B22D55">
                <w:pPr>
                  <w:spacing w:line="216" w:lineRule="exact"/>
                  <w:ind w:left="20"/>
                  <w:rPr>
                    <w:sz w:val="20"/>
                  </w:rPr>
                </w:pPr>
              </w:p>
            </w:txbxContent>
          </v:textbox>
          <w10:wrap anchorx="page" anchory="page"/>
        </v:shape>
      </w:pict>
    </w:r>
    <w:r>
      <w:pict>
        <v:shape id="_x0000_s2049" type="#_x0000_t202" style="position:absolute;margin-left:187.3pt;margin-top:782.8pt;width:220.5pt;height:24.7pt;z-index:-11968;mso-position-horizontal-relative:page;mso-position-vertical-relative:page" filled="f" stroked="f">
          <v:textbox inset="0,0,0,0">
            <w:txbxContent>
              <w:p w:rsidR="00B22D55" w:rsidRDefault="00632B5E">
                <w:pPr>
                  <w:pStyle w:val="BodyText"/>
                  <w:spacing w:before="1"/>
                  <w:ind w:left="6"/>
                  <w:jc w:val="center"/>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B5E" w:rsidRDefault="00632B5E">
      <w:r>
        <w:separator/>
      </w:r>
    </w:p>
  </w:footnote>
  <w:footnote w:type="continuationSeparator" w:id="0">
    <w:p w:rsidR="00632B5E" w:rsidRDefault="00632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D55" w:rsidRDefault="00632B5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64.7pt;margin-top:36.05pt;width:41.8pt;height:13.05pt;z-index:-12016;mso-position-horizontal-relative:page;mso-position-vertical-relative:page" filled="f" stroked="f">
          <v:textbox inset="0,0,0,0">
            <w:txbxContent>
              <w:p w:rsidR="00B22D55" w:rsidRDefault="00632B5E">
                <w:pPr>
                  <w:pStyle w:val="BodyText"/>
                  <w:spacing w:line="237" w:lineRule="exact"/>
                  <w:ind w:left="20"/>
                </w:pPr>
                <w:r>
                  <w:t>PUBLIC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250AB3"/>
    <w:multiLevelType w:val="hybridMultilevel"/>
    <w:tmpl w:val="3B76B050"/>
    <w:lvl w:ilvl="0" w:tplc="7DD4ABBC">
      <w:start w:val="1"/>
      <w:numFmt w:val="decimal"/>
      <w:lvlText w:val="%1."/>
      <w:lvlJc w:val="left"/>
      <w:pPr>
        <w:ind w:left="1377" w:hanging="360"/>
        <w:jc w:val="left"/>
      </w:pPr>
      <w:rPr>
        <w:rFonts w:ascii="Arial" w:eastAsia="Arial" w:hAnsi="Arial" w:cs="Arial" w:hint="default"/>
        <w:spacing w:val="-1"/>
        <w:w w:val="100"/>
        <w:sz w:val="22"/>
        <w:szCs w:val="22"/>
        <w:lang w:val="en-US" w:eastAsia="en-US" w:bidi="en-US"/>
      </w:rPr>
    </w:lvl>
    <w:lvl w:ilvl="1" w:tplc="FA4E0A70">
      <w:numFmt w:val="bullet"/>
      <w:lvlText w:val="•"/>
      <w:lvlJc w:val="left"/>
      <w:pPr>
        <w:ind w:left="2202" w:hanging="360"/>
      </w:pPr>
      <w:rPr>
        <w:rFonts w:hint="default"/>
        <w:lang w:val="en-US" w:eastAsia="en-US" w:bidi="en-US"/>
      </w:rPr>
    </w:lvl>
    <w:lvl w:ilvl="2" w:tplc="DB7243C6">
      <w:numFmt w:val="bullet"/>
      <w:lvlText w:val="•"/>
      <w:lvlJc w:val="left"/>
      <w:pPr>
        <w:ind w:left="3024" w:hanging="360"/>
      </w:pPr>
      <w:rPr>
        <w:rFonts w:hint="default"/>
        <w:lang w:val="en-US" w:eastAsia="en-US" w:bidi="en-US"/>
      </w:rPr>
    </w:lvl>
    <w:lvl w:ilvl="3" w:tplc="5D40E9DE">
      <w:numFmt w:val="bullet"/>
      <w:lvlText w:val="•"/>
      <w:lvlJc w:val="left"/>
      <w:pPr>
        <w:ind w:left="3846" w:hanging="360"/>
      </w:pPr>
      <w:rPr>
        <w:rFonts w:hint="default"/>
        <w:lang w:val="en-US" w:eastAsia="en-US" w:bidi="en-US"/>
      </w:rPr>
    </w:lvl>
    <w:lvl w:ilvl="4" w:tplc="94563B56">
      <w:numFmt w:val="bullet"/>
      <w:lvlText w:val="•"/>
      <w:lvlJc w:val="left"/>
      <w:pPr>
        <w:ind w:left="4668" w:hanging="360"/>
      </w:pPr>
      <w:rPr>
        <w:rFonts w:hint="default"/>
        <w:lang w:val="en-US" w:eastAsia="en-US" w:bidi="en-US"/>
      </w:rPr>
    </w:lvl>
    <w:lvl w:ilvl="5" w:tplc="BF9EC696">
      <w:numFmt w:val="bullet"/>
      <w:lvlText w:val="•"/>
      <w:lvlJc w:val="left"/>
      <w:pPr>
        <w:ind w:left="5490" w:hanging="360"/>
      </w:pPr>
      <w:rPr>
        <w:rFonts w:hint="default"/>
        <w:lang w:val="en-US" w:eastAsia="en-US" w:bidi="en-US"/>
      </w:rPr>
    </w:lvl>
    <w:lvl w:ilvl="6" w:tplc="2036145E">
      <w:numFmt w:val="bullet"/>
      <w:lvlText w:val="•"/>
      <w:lvlJc w:val="left"/>
      <w:pPr>
        <w:ind w:left="6312" w:hanging="360"/>
      </w:pPr>
      <w:rPr>
        <w:rFonts w:hint="default"/>
        <w:lang w:val="en-US" w:eastAsia="en-US" w:bidi="en-US"/>
      </w:rPr>
    </w:lvl>
    <w:lvl w:ilvl="7" w:tplc="D3C47D24">
      <w:numFmt w:val="bullet"/>
      <w:lvlText w:val="•"/>
      <w:lvlJc w:val="left"/>
      <w:pPr>
        <w:ind w:left="7134" w:hanging="360"/>
      </w:pPr>
      <w:rPr>
        <w:rFonts w:hint="default"/>
        <w:lang w:val="en-US" w:eastAsia="en-US" w:bidi="en-US"/>
      </w:rPr>
    </w:lvl>
    <w:lvl w:ilvl="8" w:tplc="4F305ED8">
      <w:numFmt w:val="bullet"/>
      <w:lvlText w:val="•"/>
      <w:lvlJc w:val="left"/>
      <w:pPr>
        <w:ind w:left="7956" w:hanging="360"/>
      </w:pPr>
      <w:rPr>
        <w:rFonts w:hint="default"/>
        <w:lang w:val="en-US" w:eastAsia="en-US" w:bidi="en-US"/>
      </w:rPr>
    </w:lvl>
  </w:abstractNum>
  <w:abstractNum w:abstractNumId="1" w15:restartNumberingAfterBreak="0">
    <w:nsid w:val="6D6753D2"/>
    <w:multiLevelType w:val="hybridMultilevel"/>
    <w:tmpl w:val="DCAEA0FC"/>
    <w:lvl w:ilvl="0" w:tplc="527E4502">
      <w:start w:val="1"/>
      <w:numFmt w:val="decimal"/>
      <w:lvlText w:val="%1"/>
      <w:lvlJc w:val="left"/>
      <w:pPr>
        <w:ind w:left="1089" w:hanging="432"/>
        <w:jc w:val="left"/>
      </w:pPr>
      <w:rPr>
        <w:rFonts w:hint="default"/>
        <w:b/>
        <w:bCs/>
        <w:w w:val="99"/>
        <w:lang w:val="en-US" w:eastAsia="en-US" w:bidi="en-US"/>
      </w:rPr>
    </w:lvl>
    <w:lvl w:ilvl="1" w:tplc="BD505ABE">
      <w:numFmt w:val="bullet"/>
      <w:lvlText w:val=""/>
      <w:lvlJc w:val="left"/>
      <w:pPr>
        <w:ind w:left="1377" w:hanging="358"/>
      </w:pPr>
      <w:rPr>
        <w:rFonts w:ascii="Symbol" w:eastAsia="Symbol" w:hAnsi="Symbol" w:cs="Symbol" w:hint="default"/>
        <w:w w:val="100"/>
        <w:sz w:val="22"/>
        <w:szCs w:val="22"/>
        <w:lang w:val="en-US" w:eastAsia="en-US" w:bidi="en-US"/>
      </w:rPr>
    </w:lvl>
    <w:lvl w:ilvl="2" w:tplc="AC52597E">
      <w:numFmt w:val="bullet"/>
      <w:lvlText w:val="o"/>
      <w:lvlJc w:val="left"/>
      <w:pPr>
        <w:ind w:left="1737" w:hanging="358"/>
      </w:pPr>
      <w:rPr>
        <w:rFonts w:ascii="Courier New" w:eastAsia="Courier New" w:hAnsi="Courier New" w:cs="Courier New" w:hint="default"/>
        <w:w w:val="100"/>
        <w:sz w:val="22"/>
        <w:szCs w:val="22"/>
        <w:lang w:val="en-US" w:eastAsia="en-US" w:bidi="en-US"/>
      </w:rPr>
    </w:lvl>
    <w:lvl w:ilvl="3" w:tplc="AA6C5D4C">
      <w:numFmt w:val="bullet"/>
      <w:lvlText w:val="•"/>
      <w:lvlJc w:val="left"/>
      <w:pPr>
        <w:ind w:left="2722" w:hanging="358"/>
      </w:pPr>
      <w:rPr>
        <w:rFonts w:hint="default"/>
        <w:lang w:val="en-US" w:eastAsia="en-US" w:bidi="en-US"/>
      </w:rPr>
    </w:lvl>
    <w:lvl w:ilvl="4" w:tplc="9CD89EF6">
      <w:numFmt w:val="bullet"/>
      <w:lvlText w:val="•"/>
      <w:lvlJc w:val="left"/>
      <w:pPr>
        <w:ind w:left="3705" w:hanging="358"/>
      </w:pPr>
      <w:rPr>
        <w:rFonts w:hint="default"/>
        <w:lang w:val="en-US" w:eastAsia="en-US" w:bidi="en-US"/>
      </w:rPr>
    </w:lvl>
    <w:lvl w:ilvl="5" w:tplc="BB505E18">
      <w:numFmt w:val="bullet"/>
      <w:lvlText w:val="•"/>
      <w:lvlJc w:val="left"/>
      <w:pPr>
        <w:ind w:left="4687" w:hanging="358"/>
      </w:pPr>
      <w:rPr>
        <w:rFonts w:hint="default"/>
        <w:lang w:val="en-US" w:eastAsia="en-US" w:bidi="en-US"/>
      </w:rPr>
    </w:lvl>
    <w:lvl w:ilvl="6" w:tplc="3432E14C">
      <w:numFmt w:val="bullet"/>
      <w:lvlText w:val="•"/>
      <w:lvlJc w:val="left"/>
      <w:pPr>
        <w:ind w:left="5670" w:hanging="358"/>
      </w:pPr>
      <w:rPr>
        <w:rFonts w:hint="default"/>
        <w:lang w:val="en-US" w:eastAsia="en-US" w:bidi="en-US"/>
      </w:rPr>
    </w:lvl>
    <w:lvl w:ilvl="7" w:tplc="D8CE0FE6">
      <w:numFmt w:val="bullet"/>
      <w:lvlText w:val="•"/>
      <w:lvlJc w:val="left"/>
      <w:pPr>
        <w:ind w:left="6652" w:hanging="358"/>
      </w:pPr>
      <w:rPr>
        <w:rFonts w:hint="default"/>
        <w:lang w:val="en-US" w:eastAsia="en-US" w:bidi="en-US"/>
      </w:rPr>
    </w:lvl>
    <w:lvl w:ilvl="8" w:tplc="2BA25600">
      <w:numFmt w:val="bullet"/>
      <w:lvlText w:val="•"/>
      <w:lvlJc w:val="left"/>
      <w:pPr>
        <w:ind w:left="7635" w:hanging="358"/>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22D55"/>
    <w:rsid w:val="00632B5E"/>
    <w:rsid w:val="006D273F"/>
    <w:rsid w:val="00B22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A2D1AAB"/>
  <w15:docId w15:val="{58E4A16E-B942-4C04-A19A-CF7574DD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89" w:hanging="43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77" w:hanging="360"/>
    </w:pPr>
  </w:style>
  <w:style w:type="paragraph" w:customStyle="1" w:styleId="TableParagraph">
    <w:name w:val="Table Paragraph"/>
    <w:basedOn w:val="Normal"/>
    <w:uiPriority w:val="1"/>
    <w:qFormat/>
    <w:pPr>
      <w:spacing w:line="250" w:lineRule="exact"/>
      <w:ind w:left="107"/>
    </w:pPr>
  </w:style>
  <w:style w:type="paragraph" w:styleId="Header">
    <w:name w:val="header"/>
    <w:basedOn w:val="Normal"/>
    <w:link w:val="HeaderChar"/>
    <w:uiPriority w:val="99"/>
    <w:unhideWhenUsed/>
    <w:rsid w:val="006D273F"/>
    <w:pPr>
      <w:tabs>
        <w:tab w:val="center" w:pos="4513"/>
        <w:tab w:val="right" w:pos="9026"/>
      </w:tabs>
    </w:pPr>
  </w:style>
  <w:style w:type="character" w:customStyle="1" w:styleId="HeaderChar">
    <w:name w:val="Header Char"/>
    <w:basedOn w:val="DefaultParagraphFont"/>
    <w:link w:val="Header"/>
    <w:uiPriority w:val="99"/>
    <w:rsid w:val="006D273F"/>
    <w:rPr>
      <w:rFonts w:ascii="Arial" w:eastAsia="Arial" w:hAnsi="Arial" w:cs="Arial"/>
      <w:lang w:bidi="en-US"/>
    </w:rPr>
  </w:style>
  <w:style w:type="paragraph" w:styleId="Footer">
    <w:name w:val="footer"/>
    <w:basedOn w:val="Normal"/>
    <w:link w:val="FooterChar"/>
    <w:uiPriority w:val="99"/>
    <w:unhideWhenUsed/>
    <w:rsid w:val="006D273F"/>
    <w:pPr>
      <w:tabs>
        <w:tab w:val="center" w:pos="4513"/>
        <w:tab w:val="right" w:pos="9026"/>
      </w:tabs>
    </w:pPr>
  </w:style>
  <w:style w:type="character" w:customStyle="1" w:styleId="FooterChar">
    <w:name w:val="Footer Char"/>
    <w:basedOn w:val="DefaultParagraphFont"/>
    <w:link w:val="Footer"/>
    <w:uiPriority w:val="99"/>
    <w:rsid w:val="006D273F"/>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2154</Words>
  <Characters>12283</Characters>
  <Application>Microsoft Office Word</Application>
  <DocSecurity>0</DocSecurity>
  <Lines>102</Lines>
  <Paragraphs>28</Paragraphs>
  <ScaleCrop>false</ScaleCrop>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policy</dc:title>
  <dc:creator>Mr Mike Smith (Zengenti)</dc:creator>
  <cp:lastModifiedBy>Agathsya Tech</cp:lastModifiedBy>
  <cp:revision>2</cp:revision>
  <dcterms:created xsi:type="dcterms:W3CDTF">2018-10-12T08:54:00Z</dcterms:created>
  <dcterms:modified xsi:type="dcterms:W3CDTF">2018-10-12T08:59:00Z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2016-09-05T00:00:00Z</vt:filetime>
  </property>
  <property fmtid="{D5CDD505-2E9C-101B-9397-08002B2CF9AE}" pid="3" name="Creator">
    <vt:lpwstr>PScript5.dll Version 5.2.2</vt:lpwstr>
  </property>
  <property fmtid="{D5CDD505-2E9C-101B-9397-08002B2CF9AE}" pid="4" name="LastSaved">
    <vt:filetime>2018-10-12T00:00:00Z</vt:filetime>
  </property>
</Properties>
</file>