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31597" w14:textId="77777777" w:rsidR="009C4012" w:rsidRDefault="009C4012">
      <w:pPr>
        <w:pStyle w:val="BodyText"/>
        <w:spacing w:before="4"/>
        <w:rPr>
          <w:rFonts w:ascii="Times New Roman"/>
          <w:sz w:val="8"/>
        </w:rPr>
      </w:pPr>
    </w:p>
    <w:p w14:paraId="611FF22F" w14:textId="745948A8" w:rsidR="009C4012" w:rsidRDefault="009C4012">
      <w:pPr>
        <w:pStyle w:val="BodyText"/>
        <w:ind w:left="2800"/>
        <w:rPr>
          <w:rFonts w:ascii="Times New Roman"/>
          <w:sz w:val="20"/>
        </w:rPr>
      </w:pPr>
    </w:p>
    <w:p w14:paraId="219AD4FC" w14:textId="77777777" w:rsidR="009C4012" w:rsidRDefault="009C4012">
      <w:pPr>
        <w:pStyle w:val="BodyText"/>
        <w:rPr>
          <w:rFonts w:ascii="Times New Roman"/>
          <w:sz w:val="20"/>
        </w:rPr>
      </w:pPr>
    </w:p>
    <w:p w14:paraId="4BE98E34" w14:textId="77777777" w:rsidR="009C4012" w:rsidRDefault="009C4012">
      <w:pPr>
        <w:pStyle w:val="BodyText"/>
        <w:rPr>
          <w:rFonts w:ascii="Times New Roman"/>
          <w:sz w:val="20"/>
        </w:rPr>
      </w:pPr>
    </w:p>
    <w:p w14:paraId="5A0145BE" w14:textId="77777777" w:rsidR="009C4012" w:rsidRDefault="009C4012">
      <w:pPr>
        <w:pStyle w:val="BodyText"/>
        <w:rPr>
          <w:rFonts w:ascii="Times New Roman"/>
          <w:sz w:val="20"/>
        </w:rPr>
      </w:pPr>
    </w:p>
    <w:p w14:paraId="7DDD7697" w14:textId="77777777" w:rsidR="009C4012" w:rsidRDefault="009C4012">
      <w:pPr>
        <w:pStyle w:val="BodyText"/>
        <w:rPr>
          <w:rFonts w:ascii="Times New Roman"/>
          <w:sz w:val="20"/>
        </w:rPr>
      </w:pPr>
    </w:p>
    <w:p w14:paraId="341B86A0" w14:textId="77777777" w:rsidR="009C4012" w:rsidRDefault="009C4012">
      <w:pPr>
        <w:pStyle w:val="BodyText"/>
        <w:rPr>
          <w:rFonts w:ascii="Times New Roman"/>
          <w:sz w:val="20"/>
        </w:rPr>
      </w:pPr>
    </w:p>
    <w:p w14:paraId="1F088710" w14:textId="77777777" w:rsidR="009C4012" w:rsidRDefault="009C4012">
      <w:pPr>
        <w:pStyle w:val="BodyText"/>
        <w:rPr>
          <w:rFonts w:ascii="Times New Roman"/>
          <w:sz w:val="20"/>
        </w:rPr>
      </w:pPr>
    </w:p>
    <w:p w14:paraId="2532299C" w14:textId="77777777" w:rsidR="009C4012" w:rsidRDefault="009C4012">
      <w:pPr>
        <w:pStyle w:val="BodyText"/>
        <w:rPr>
          <w:rFonts w:ascii="Times New Roman"/>
          <w:sz w:val="20"/>
        </w:rPr>
      </w:pPr>
    </w:p>
    <w:p w14:paraId="10731360" w14:textId="77777777" w:rsidR="009C4012" w:rsidRDefault="009C4012">
      <w:pPr>
        <w:pStyle w:val="BodyText"/>
        <w:rPr>
          <w:rFonts w:ascii="Times New Roman"/>
          <w:sz w:val="20"/>
        </w:rPr>
      </w:pPr>
    </w:p>
    <w:p w14:paraId="29BB0B37" w14:textId="77777777" w:rsidR="009C4012" w:rsidRDefault="009C4012">
      <w:pPr>
        <w:pStyle w:val="BodyText"/>
        <w:rPr>
          <w:rFonts w:ascii="Times New Roman"/>
          <w:sz w:val="20"/>
        </w:rPr>
      </w:pPr>
    </w:p>
    <w:p w14:paraId="07A9FF72" w14:textId="77777777" w:rsidR="009C4012" w:rsidRDefault="00862079">
      <w:pPr>
        <w:pStyle w:val="BodyText"/>
        <w:spacing w:before="5"/>
        <w:rPr>
          <w:rFonts w:ascii="Times New Roman"/>
          <w:sz w:val="23"/>
        </w:rPr>
      </w:pPr>
      <w:r>
        <w:pict w14:anchorId="4B25ECD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8.8pt;margin-top:15.7pt;width:426pt;height:94.1pt;z-index:-251658752;mso-wrap-distance-left:0;mso-wrap-distance-right:0;mso-position-horizontal-relative:page" filled="f" strokeweight=".16969mm">
            <v:textbox inset="0,0,0,0">
              <w:txbxContent>
                <w:p w14:paraId="01E9F900" w14:textId="77777777" w:rsidR="009C4012" w:rsidRDefault="009C4012"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 w14:paraId="080218E5" w14:textId="77777777" w:rsidR="009C4012" w:rsidRDefault="009C4012"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 w14:paraId="5381BCE5" w14:textId="77777777" w:rsidR="009C4012" w:rsidRDefault="00862079">
                  <w:pPr>
                    <w:spacing w:before="197"/>
                    <w:ind w:left="239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BUSINESS CONTINUITY POLICY</w:t>
                  </w:r>
                </w:p>
              </w:txbxContent>
            </v:textbox>
            <w10:wrap type="topAndBottom" anchorx="page"/>
          </v:shape>
        </w:pict>
      </w:r>
    </w:p>
    <w:p w14:paraId="1FB97050" w14:textId="77777777" w:rsidR="009C4012" w:rsidRDefault="009C4012">
      <w:pPr>
        <w:rPr>
          <w:rFonts w:ascii="Times New Roman"/>
          <w:sz w:val="23"/>
        </w:rPr>
        <w:sectPr w:rsidR="009C4012">
          <w:type w:val="continuous"/>
          <w:pgSz w:w="11910" w:h="16840"/>
          <w:pgMar w:top="1580" w:right="1500" w:bottom="280" w:left="1600" w:header="720" w:footer="720" w:gutter="0"/>
          <w:cols w:space="720"/>
        </w:sectPr>
      </w:pPr>
    </w:p>
    <w:p w14:paraId="281673DF" w14:textId="77777777" w:rsidR="009C4012" w:rsidRDefault="009C4012">
      <w:pPr>
        <w:pStyle w:val="BodyText"/>
        <w:spacing w:before="5"/>
        <w:rPr>
          <w:rFonts w:ascii="Times New Roman"/>
        </w:rPr>
      </w:pPr>
    </w:p>
    <w:p w14:paraId="0067FE71" w14:textId="77777777" w:rsidR="009C4012" w:rsidRDefault="00862079">
      <w:pPr>
        <w:spacing w:before="92"/>
        <w:ind w:left="3463" w:right="3566"/>
        <w:jc w:val="center"/>
        <w:rPr>
          <w:b/>
          <w:sz w:val="28"/>
        </w:rPr>
      </w:pPr>
      <w:r>
        <w:rPr>
          <w:b/>
          <w:sz w:val="28"/>
          <w:u w:val="thick"/>
        </w:rPr>
        <w:t>CONTENTS</w:t>
      </w:r>
    </w:p>
    <w:p w14:paraId="3098F305" w14:textId="77777777" w:rsidR="009C4012" w:rsidRDefault="009C4012">
      <w:pPr>
        <w:pStyle w:val="BodyText"/>
        <w:rPr>
          <w:b/>
          <w:sz w:val="20"/>
        </w:rPr>
      </w:pPr>
    </w:p>
    <w:p w14:paraId="76AFC29C" w14:textId="77777777" w:rsidR="009C4012" w:rsidRDefault="009C4012">
      <w:pPr>
        <w:pStyle w:val="BodyText"/>
        <w:rPr>
          <w:b/>
          <w:sz w:val="20"/>
        </w:rPr>
      </w:pPr>
    </w:p>
    <w:p w14:paraId="4FC9C0F3" w14:textId="77777777" w:rsidR="009C4012" w:rsidRDefault="009C4012">
      <w:pPr>
        <w:pStyle w:val="BodyText"/>
        <w:spacing w:before="3"/>
        <w:rPr>
          <w:b/>
          <w:sz w:val="26"/>
        </w:rPr>
      </w:pPr>
    </w:p>
    <w:sdt>
      <w:sdtPr>
        <w:rPr>
          <w:b w:val="0"/>
          <w:bCs w:val="0"/>
        </w:rPr>
        <w:id w:val="-382489858"/>
        <w:docPartObj>
          <w:docPartGallery w:val="Table of Contents"/>
          <w:docPartUnique/>
        </w:docPartObj>
      </w:sdtPr>
      <w:sdtEndPr/>
      <w:sdtContent>
        <w:p w14:paraId="09FC01DF" w14:textId="77777777" w:rsidR="009C4012" w:rsidRDefault="00862079">
          <w:pPr>
            <w:pStyle w:val="TOC1"/>
            <w:numPr>
              <w:ilvl w:val="0"/>
              <w:numId w:val="3"/>
            </w:numPr>
            <w:tabs>
              <w:tab w:val="left" w:pos="528"/>
              <w:tab w:val="left" w:pos="529"/>
              <w:tab w:val="right" w:leader="dot" w:pos="8595"/>
            </w:tabs>
            <w:spacing w:before="93"/>
            <w:ind w:hanging="427"/>
            <w:rPr>
              <w:b w:val="0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Definitions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23E08874" w14:textId="77777777" w:rsidR="009C4012" w:rsidRDefault="00862079">
          <w:pPr>
            <w:pStyle w:val="TOC1"/>
            <w:numPr>
              <w:ilvl w:val="0"/>
              <w:numId w:val="3"/>
            </w:numPr>
            <w:tabs>
              <w:tab w:val="left" w:pos="528"/>
              <w:tab w:val="left" w:pos="529"/>
              <w:tab w:val="right" w:leader="dot" w:pos="8595"/>
            </w:tabs>
            <w:spacing w:before="136"/>
            <w:ind w:hanging="427"/>
            <w:rPr>
              <w:b w:val="0"/>
            </w:rPr>
          </w:pPr>
          <w:hyperlink w:anchor="_bookmark1" w:history="1">
            <w:r>
              <w:t>Introduction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77DF85B5" w14:textId="77777777" w:rsidR="009C4012" w:rsidRDefault="00862079">
          <w:pPr>
            <w:pStyle w:val="TOC1"/>
            <w:numPr>
              <w:ilvl w:val="0"/>
              <w:numId w:val="3"/>
            </w:numPr>
            <w:tabs>
              <w:tab w:val="left" w:pos="529"/>
              <w:tab w:val="right" w:leader="dot" w:pos="8595"/>
            </w:tabs>
            <w:ind w:hanging="427"/>
            <w:rPr>
              <w:b w:val="0"/>
            </w:rPr>
          </w:pPr>
          <w:hyperlink w:anchor="_bookmark2" w:history="1">
            <w:r>
              <w:t>Scope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14:paraId="55195A1A" w14:textId="77777777" w:rsidR="009C4012" w:rsidRDefault="00862079">
          <w:pPr>
            <w:pStyle w:val="TOC1"/>
            <w:numPr>
              <w:ilvl w:val="0"/>
              <w:numId w:val="3"/>
            </w:numPr>
            <w:tabs>
              <w:tab w:val="left" w:pos="529"/>
              <w:tab w:val="right" w:leader="dot" w:pos="8595"/>
            </w:tabs>
            <w:spacing w:before="139"/>
            <w:ind w:hanging="427"/>
            <w:rPr>
              <w:b w:val="0"/>
            </w:rPr>
          </w:pPr>
          <w:hyperlink w:anchor="_bookmark3" w:history="1">
            <w:r>
              <w:t>Purpose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14:paraId="48A28045" w14:textId="77777777" w:rsidR="009C4012" w:rsidRDefault="00862079">
          <w:pPr>
            <w:pStyle w:val="TOC1"/>
            <w:numPr>
              <w:ilvl w:val="0"/>
              <w:numId w:val="3"/>
            </w:numPr>
            <w:tabs>
              <w:tab w:val="left" w:pos="528"/>
              <w:tab w:val="left" w:pos="529"/>
              <w:tab w:val="right" w:leader="dot" w:pos="8595"/>
            </w:tabs>
            <w:ind w:hanging="427"/>
            <w:rPr>
              <w:b w:val="0"/>
            </w:rPr>
          </w:pPr>
          <w:hyperlink w:anchor="_bookmark4" w:history="1">
            <w:r>
              <w:t>Principles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Commitments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14:paraId="1D1FB554" w14:textId="77777777" w:rsidR="009C4012" w:rsidRDefault="00862079">
          <w:pPr>
            <w:pStyle w:val="TOC1"/>
            <w:numPr>
              <w:ilvl w:val="0"/>
              <w:numId w:val="3"/>
            </w:numPr>
            <w:tabs>
              <w:tab w:val="left" w:pos="529"/>
              <w:tab w:val="right" w:leader="dot" w:pos="8595"/>
            </w:tabs>
            <w:ind w:hanging="427"/>
            <w:rPr>
              <w:b w:val="0"/>
            </w:rPr>
          </w:pPr>
          <w:hyperlink w:anchor="_bookmark5" w:history="1">
            <w:r>
              <w:t>Responsibilities</w:t>
            </w:r>
            <w:r>
              <w:tab/>
            </w:r>
            <w:r>
              <w:rPr>
                <w:b w:val="0"/>
              </w:rPr>
              <w:t>6</w:t>
            </w:r>
          </w:hyperlink>
        </w:p>
        <w:p w14:paraId="647C1E52" w14:textId="77777777" w:rsidR="009C4012" w:rsidRDefault="00862079">
          <w:r>
            <w:fldChar w:fldCharType="end"/>
          </w:r>
        </w:p>
      </w:sdtContent>
    </w:sdt>
    <w:p w14:paraId="08A42295" w14:textId="77777777" w:rsidR="009C4012" w:rsidRDefault="009C4012">
      <w:pPr>
        <w:sectPr w:rsidR="009C4012">
          <w:footerReference w:type="default" r:id="rId7"/>
          <w:pgSz w:w="11910" w:h="16840"/>
          <w:pgMar w:top="1580" w:right="1500" w:bottom="780" w:left="1600" w:header="0" w:footer="585" w:gutter="0"/>
          <w:cols w:space="720"/>
        </w:sectPr>
      </w:pPr>
    </w:p>
    <w:p w14:paraId="1BCF6C19" w14:textId="77777777" w:rsidR="009C4012" w:rsidRDefault="00862079">
      <w:pPr>
        <w:pStyle w:val="Heading1"/>
        <w:numPr>
          <w:ilvl w:val="0"/>
          <w:numId w:val="2"/>
        </w:numPr>
        <w:tabs>
          <w:tab w:val="left" w:pos="822"/>
        </w:tabs>
        <w:spacing w:before="75"/>
        <w:jc w:val="both"/>
      </w:pPr>
      <w:bookmarkStart w:id="0" w:name="I._Definitions"/>
      <w:bookmarkStart w:id="1" w:name="_bookmark0"/>
      <w:bookmarkEnd w:id="0"/>
      <w:bookmarkEnd w:id="1"/>
      <w:r>
        <w:lastRenderedPageBreak/>
        <w:t>Definitions</w:t>
      </w:r>
    </w:p>
    <w:p w14:paraId="7F72B6DF" w14:textId="77777777" w:rsidR="009C4012" w:rsidRDefault="009C4012">
      <w:pPr>
        <w:pStyle w:val="BodyText"/>
        <w:spacing w:before="8"/>
        <w:rPr>
          <w:b/>
          <w:sz w:val="20"/>
        </w:rPr>
      </w:pPr>
    </w:p>
    <w:p w14:paraId="6EDE8743" w14:textId="77777777" w:rsidR="009C4012" w:rsidRDefault="00862079">
      <w:pPr>
        <w:pStyle w:val="BodyText"/>
        <w:spacing w:line="242" w:lineRule="auto"/>
        <w:ind w:left="101" w:right="196"/>
        <w:jc w:val="both"/>
      </w:pPr>
      <w:r>
        <w:t>For the purposes of this Policy, the following terms shall be</w:t>
      </w:r>
      <w:r>
        <w:t xml:space="preserve"> understood as follows:</w:t>
      </w:r>
    </w:p>
    <w:p w14:paraId="69F81816" w14:textId="77777777" w:rsidR="009C4012" w:rsidRDefault="009C4012">
      <w:pPr>
        <w:pStyle w:val="BodyText"/>
        <w:spacing w:before="7"/>
        <w:rPr>
          <w:sz w:val="20"/>
        </w:rPr>
      </w:pPr>
    </w:p>
    <w:p w14:paraId="6DC102D8" w14:textId="77777777" w:rsidR="009C4012" w:rsidRDefault="00862079">
      <w:pPr>
        <w:pStyle w:val="BodyText"/>
        <w:ind w:left="101" w:right="197"/>
        <w:jc w:val="both"/>
      </w:pPr>
      <w:r>
        <w:rPr>
          <w:u w:val="single"/>
        </w:rPr>
        <w:t>Asset</w:t>
      </w:r>
      <w:r>
        <w:t>: all the capabilities, goods, rights, resources and intangible assets owned by a company, institution or individual, or the possession or right of exploitation of which they hold.</w:t>
      </w:r>
    </w:p>
    <w:p w14:paraId="2097062A" w14:textId="77777777" w:rsidR="009C4012" w:rsidRDefault="009C4012">
      <w:pPr>
        <w:pStyle w:val="BodyText"/>
        <w:spacing w:before="10"/>
        <w:rPr>
          <w:sz w:val="20"/>
        </w:rPr>
      </w:pPr>
    </w:p>
    <w:p w14:paraId="5CD45019" w14:textId="77777777" w:rsidR="009C4012" w:rsidRDefault="00862079">
      <w:pPr>
        <w:pStyle w:val="BodyText"/>
        <w:ind w:left="101" w:right="197"/>
        <w:jc w:val="both"/>
      </w:pPr>
      <w:r>
        <w:rPr>
          <w:u w:val="single"/>
        </w:rPr>
        <w:t>Security and Environment Committee</w:t>
      </w:r>
      <w:r>
        <w:t>: the high</w:t>
      </w:r>
      <w:r>
        <w:t xml:space="preserve">est executive body in the Security and Environment </w:t>
      </w:r>
      <w:proofErr w:type="spellStart"/>
      <w:r>
        <w:t>Organisation</w:t>
      </w:r>
      <w:proofErr w:type="spellEnd"/>
      <w:r>
        <w:t>. This Committee shall ensure that the activity of the Corporate Security and Environment Function is aligned with the business objectives and needs, while guaranteeing that said objectives and</w:t>
      </w:r>
      <w:r>
        <w:t xml:space="preserve"> needs are considered constituent elements of the corporate business processes, as laid down in the Security and Environment Master</w:t>
      </w:r>
      <w:r>
        <w:rPr>
          <w:spacing w:val="-13"/>
        </w:rPr>
        <w:t xml:space="preserve"> </w:t>
      </w:r>
      <w:r>
        <w:t>Plan.</w:t>
      </w:r>
    </w:p>
    <w:p w14:paraId="5811BCED" w14:textId="77777777" w:rsidR="009C4012" w:rsidRDefault="009C4012">
      <w:pPr>
        <w:pStyle w:val="BodyText"/>
        <w:spacing w:before="10"/>
        <w:rPr>
          <w:sz w:val="20"/>
        </w:rPr>
      </w:pPr>
    </w:p>
    <w:p w14:paraId="3B89B4E0" w14:textId="77777777" w:rsidR="009C4012" w:rsidRDefault="00862079">
      <w:pPr>
        <w:pStyle w:val="BodyText"/>
        <w:ind w:left="101" w:right="197"/>
        <w:jc w:val="both"/>
      </w:pPr>
      <w:r>
        <w:rPr>
          <w:u w:val="single"/>
        </w:rPr>
        <w:t>Crisis and Business Continuity Committee</w:t>
      </w:r>
      <w:r>
        <w:t>: specific committee reporting to the Security and Environment Committee with</w:t>
      </w:r>
      <w:r>
        <w:t xml:space="preserve"> management and control functions in the field of business continuity and crisis management. It shall be responsible for implementing the decisions made by the Security and Environment Committee </w:t>
      </w:r>
      <w:proofErr w:type="gramStart"/>
      <w:r>
        <w:t>in order to</w:t>
      </w:r>
      <w:proofErr w:type="gramEnd"/>
      <w:r>
        <w:t xml:space="preserve"> ensure the correct governance of the activities w</w:t>
      </w:r>
      <w:r>
        <w:t>ithin its remit, as laid down in the Security and Environment Master</w:t>
      </w:r>
      <w:r>
        <w:rPr>
          <w:spacing w:val="-12"/>
        </w:rPr>
        <w:t xml:space="preserve"> </w:t>
      </w:r>
      <w:r>
        <w:t>Plan.</w:t>
      </w:r>
    </w:p>
    <w:p w14:paraId="2CECDAFB" w14:textId="77777777" w:rsidR="009C4012" w:rsidRDefault="009C4012">
      <w:pPr>
        <w:pStyle w:val="BodyText"/>
        <w:spacing w:before="10"/>
        <w:rPr>
          <w:sz w:val="20"/>
        </w:rPr>
      </w:pPr>
    </w:p>
    <w:p w14:paraId="15998E5A" w14:textId="77777777" w:rsidR="009C4012" w:rsidRDefault="00862079">
      <w:pPr>
        <w:pStyle w:val="BodyText"/>
        <w:ind w:left="101" w:right="197"/>
        <w:jc w:val="both"/>
      </w:pPr>
      <w:r>
        <w:rPr>
          <w:u w:val="single"/>
        </w:rPr>
        <w:t>Business Continuity</w:t>
      </w:r>
      <w:r>
        <w:t xml:space="preserve">: capability of the </w:t>
      </w:r>
      <w:proofErr w:type="spellStart"/>
      <w:r>
        <w:t>organisation</w:t>
      </w:r>
      <w:proofErr w:type="spellEnd"/>
      <w:r>
        <w:t xml:space="preserve"> to continue to deliver products or services at acceptable pre-defined levels following a disruptive incident. According to ISO22</w:t>
      </w:r>
      <w:r>
        <w:t>301.</w:t>
      </w:r>
    </w:p>
    <w:p w14:paraId="3EF6CAE4" w14:textId="77777777" w:rsidR="009C4012" w:rsidRDefault="009C4012">
      <w:pPr>
        <w:pStyle w:val="BodyText"/>
        <w:spacing w:before="10"/>
        <w:rPr>
          <w:sz w:val="20"/>
        </w:rPr>
      </w:pPr>
    </w:p>
    <w:p w14:paraId="1CD26F83" w14:textId="77777777" w:rsidR="009C4012" w:rsidRDefault="00862079">
      <w:pPr>
        <w:pStyle w:val="BodyText"/>
        <w:ind w:left="101" w:right="197"/>
        <w:jc w:val="both"/>
      </w:pPr>
      <w:r>
        <w:rPr>
          <w:u w:val="single"/>
        </w:rPr>
        <w:t>Corporate Security and Environment Function</w:t>
      </w:r>
      <w:r>
        <w:t xml:space="preserve">: set of activities, persons, means and resources required to achieve an adequate level of protection for the assets of a business </w:t>
      </w:r>
      <w:proofErr w:type="spellStart"/>
      <w:r>
        <w:t>organisation</w:t>
      </w:r>
      <w:proofErr w:type="spellEnd"/>
      <w:r>
        <w:t xml:space="preserve"> against established risks, while ensuring sustainable managemen</w:t>
      </w:r>
      <w:r>
        <w:t>t from an energy and environmental point of view, as laid down in the Security and Environment Master Plan.</w:t>
      </w:r>
    </w:p>
    <w:p w14:paraId="500CB088" w14:textId="77777777" w:rsidR="009C4012" w:rsidRDefault="009C4012">
      <w:pPr>
        <w:pStyle w:val="BodyText"/>
        <w:spacing w:before="8"/>
        <w:rPr>
          <w:sz w:val="20"/>
        </w:rPr>
      </w:pPr>
    </w:p>
    <w:p w14:paraId="106C32D9" w14:textId="77777777" w:rsidR="009C4012" w:rsidRDefault="00862079">
      <w:pPr>
        <w:pStyle w:val="BodyText"/>
        <w:ind w:left="101" w:right="196"/>
        <w:jc w:val="both"/>
      </w:pPr>
      <w:r>
        <w:rPr>
          <w:u w:val="single"/>
        </w:rPr>
        <w:t>Business Continuity Management Framework</w:t>
      </w:r>
      <w:r>
        <w:t xml:space="preserve">: strategic element that determines the various bodies and functions involved in this activity within the MAPFRE GROUP, bearing in mind the complexity of its </w:t>
      </w:r>
      <w:proofErr w:type="spellStart"/>
      <w:r>
        <w:t>organisational</w:t>
      </w:r>
      <w:proofErr w:type="spellEnd"/>
      <w:r>
        <w:t xml:space="preserve"> structure, the specificities of each Entity/Subsidiary that belong to it and the id</w:t>
      </w:r>
      <w:r>
        <w:t>iosyncrasies of each</w:t>
      </w:r>
      <w:r>
        <w:rPr>
          <w:spacing w:val="1"/>
        </w:rPr>
        <w:t xml:space="preserve"> </w:t>
      </w:r>
      <w:r>
        <w:t>country.</w:t>
      </w:r>
    </w:p>
    <w:p w14:paraId="21E76C5A" w14:textId="77777777" w:rsidR="009C4012" w:rsidRDefault="009C4012">
      <w:pPr>
        <w:pStyle w:val="BodyText"/>
        <w:spacing w:before="10"/>
        <w:rPr>
          <w:sz w:val="20"/>
        </w:rPr>
      </w:pPr>
    </w:p>
    <w:p w14:paraId="4634710B" w14:textId="77777777" w:rsidR="009C4012" w:rsidRDefault="00862079">
      <w:pPr>
        <w:pStyle w:val="BodyText"/>
        <w:ind w:left="101" w:right="196"/>
        <w:jc w:val="both"/>
      </w:pPr>
      <w:r>
        <w:rPr>
          <w:u w:val="single"/>
        </w:rPr>
        <w:t>Environment</w:t>
      </w:r>
      <w:r>
        <w:t xml:space="preserve">: conditions under which an </w:t>
      </w:r>
      <w:proofErr w:type="spellStart"/>
      <w:r>
        <w:t>organisation</w:t>
      </w:r>
      <w:proofErr w:type="spellEnd"/>
      <w:r>
        <w:t xml:space="preserve"> operates, including </w:t>
      </w:r>
      <w:proofErr w:type="gramStart"/>
      <w:r>
        <w:t>the  air</w:t>
      </w:r>
      <w:proofErr w:type="gramEnd"/>
      <w:r>
        <w:t>, water, soil, natural resources, plants, animals, living beings and their interrelations, as laid down in the Security and Environment Master</w:t>
      </w:r>
      <w:r>
        <w:rPr>
          <w:spacing w:val="-16"/>
        </w:rPr>
        <w:t xml:space="preserve"> </w:t>
      </w:r>
      <w:r>
        <w:t>Pl</w:t>
      </w:r>
      <w:r>
        <w:t>an.</w:t>
      </w:r>
    </w:p>
    <w:p w14:paraId="64E17D40" w14:textId="77777777" w:rsidR="009C4012" w:rsidRDefault="009C4012">
      <w:pPr>
        <w:pStyle w:val="BodyText"/>
        <w:spacing w:before="10"/>
        <w:rPr>
          <w:sz w:val="20"/>
        </w:rPr>
      </w:pPr>
    </w:p>
    <w:p w14:paraId="398EDA51" w14:textId="77777777" w:rsidR="009C4012" w:rsidRDefault="00862079">
      <w:pPr>
        <w:pStyle w:val="BodyText"/>
        <w:spacing w:before="1"/>
        <w:ind w:left="101" w:right="197"/>
        <w:jc w:val="both"/>
      </w:pPr>
      <w:r>
        <w:rPr>
          <w:u w:val="single"/>
        </w:rPr>
        <w:t>Business Continuity Plan</w:t>
      </w:r>
      <w:r>
        <w:t xml:space="preserve">: set of documented procedures, resources and systems that guide </w:t>
      </w:r>
      <w:proofErr w:type="spellStart"/>
      <w:r>
        <w:t>organisations</w:t>
      </w:r>
      <w:proofErr w:type="spellEnd"/>
      <w:r>
        <w:t xml:space="preserve"> to respond, recover, resume and restore the pre-defined level of operation following a disruption.</w:t>
      </w:r>
    </w:p>
    <w:p w14:paraId="385A15A4" w14:textId="77777777" w:rsidR="009C4012" w:rsidRDefault="009C4012">
      <w:pPr>
        <w:jc w:val="both"/>
        <w:sectPr w:rsidR="009C4012">
          <w:pgSz w:w="11910" w:h="16840"/>
          <w:pgMar w:top="1320" w:right="1500" w:bottom="780" w:left="1600" w:header="0" w:footer="585" w:gutter="0"/>
          <w:cols w:space="720"/>
        </w:sectPr>
      </w:pPr>
    </w:p>
    <w:p w14:paraId="72FD019A" w14:textId="77777777" w:rsidR="009C4012" w:rsidRDefault="00862079">
      <w:pPr>
        <w:pStyle w:val="BodyText"/>
        <w:spacing w:before="75"/>
        <w:ind w:left="101" w:right="199"/>
        <w:jc w:val="both"/>
      </w:pPr>
      <w:r>
        <w:rPr>
          <w:u w:val="single"/>
        </w:rPr>
        <w:lastRenderedPageBreak/>
        <w:t>Security and Environment Master</w:t>
      </w:r>
      <w:r>
        <w:rPr>
          <w:u w:val="single"/>
        </w:rPr>
        <w:t xml:space="preserve"> Plan</w:t>
      </w:r>
      <w:r>
        <w:t xml:space="preserve">: strategic framework for </w:t>
      </w:r>
      <w:r>
        <w:rPr>
          <w:spacing w:val="-2"/>
        </w:rPr>
        <w:t>the</w:t>
      </w:r>
      <w:r>
        <w:rPr>
          <w:spacing w:val="62"/>
        </w:rPr>
        <w:t xml:space="preserve"> </w:t>
      </w:r>
      <w:r>
        <w:t>development of the Corporate Security and Environment</w:t>
      </w:r>
      <w:r>
        <w:rPr>
          <w:spacing w:val="-12"/>
        </w:rPr>
        <w:t xml:space="preserve"> </w:t>
      </w:r>
      <w:r>
        <w:t>Function.</w:t>
      </w:r>
    </w:p>
    <w:p w14:paraId="6F3366A8" w14:textId="77777777" w:rsidR="009C4012" w:rsidRDefault="009C4012">
      <w:pPr>
        <w:pStyle w:val="BodyText"/>
        <w:spacing w:before="10"/>
        <w:rPr>
          <w:sz w:val="20"/>
        </w:rPr>
      </w:pPr>
    </w:p>
    <w:p w14:paraId="21F622A9" w14:textId="77777777" w:rsidR="009C4012" w:rsidRDefault="00862079">
      <w:pPr>
        <w:pStyle w:val="BodyText"/>
        <w:ind w:left="101" w:right="195"/>
        <w:jc w:val="both"/>
      </w:pPr>
      <w:r>
        <w:rPr>
          <w:u w:val="single"/>
        </w:rPr>
        <w:t>Risk</w:t>
      </w:r>
      <w:r>
        <w:t>: the possibility that future events may give rise to adverse consequences for the achievement of the economic and business objectives or for the financ</w:t>
      </w:r>
      <w:r>
        <w:t>ial position of the GROUP. The concept of risk shall be understood in a wide sense, covering events or combinations of events that may affect one or several risks that, due to their importance or relevance, must be treated</w:t>
      </w:r>
      <w:r>
        <w:rPr>
          <w:spacing w:val="-27"/>
        </w:rPr>
        <w:t xml:space="preserve"> </w:t>
      </w:r>
      <w:r>
        <w:t>separately.</w:t>
      </w:r>
    </w:p>
    <w:p w14:paraId="7A9C68F6" w14:textId="77777777" w:rsidR="009C4012" w:rsidRDefault="009C4012">
      <w:pPr>
        <w:pStyle w:val="BodyText"/>
        <w:spacing w:before="10"/>
        <w:rPr>
          <w:sz w:val="20"/>
        </w:rPr>
      </w:pPr>
    </w:p>
    <w:p w14:paraId="5D738EB7" w14:textId="77777777" w:rsidR="009C4012" w:rsidRDefault="00862079">
      <w:pPr>
        <w:pStyle w:val="BodyText"/>
        <w:spacing w:before="1"/>
        <w:ind w:left="101" w:right="197"/>
        <w:jc w:val="both"/>
      </w:pPr>
      <w:r>
        <w:rPr>
          <w:u w:val="single"/>
        </w:rPr>
        <w:t>Security and Environ</w:t>
      </w:r>
      <w:r>
        <w:rPr>
          <w:u w:val="single"/>
        </w:rPr>
        <w:t>mental Risk</w:t>
      </w:r>
      <w:r>
        <w:t xml:space="preserve">: subset of all the risks affecting the GROUP’s assets, the management of which has been entrusted to the Security and Environment </w:t>
      </w:r>
      <w:proofErr w:type="spellStart"/>
      <w:r>
        <w:t>Organisation</w:t>
      </w:r>
      <w:proofErr w:type="spellEnd"/>
      <w:r>
        <w:t>.</w:t>
      </w:r>
    </w:p>
    <w:p w14:paraId="3536EB4E" w14:textId="77777777" w:rsidR="009C4012" w:rsidRDefault="009C4012">
      <w:pPr>
        <w:pStyle w:val="BodyText"/>
        <w:spacing w:before="9"/>
        <w:rPr>
          <w:sz w:val="20"/>
        </w:rPr>
      </w:pPr>
    </w:p>
    <w:p w14:paraId="16EDED99" w14:textId="77777777" w:rsidR="009C4012" w:rsidRDefault="00862079">
      <w:pPr>
        <w:pStyle w:val="BodyText"/>
        <w:spacing w:before="1"/>
        <w:ind w:left="101"/>
        <w:jc w:val="both"/>
      </w:pPr>
      <w:r>
        <w:rPr>
          <w:u w:val="single"/>
        </w:rPr>
        <w:t>Security</w:t>
      </w:r>
      <w:r>
        <w:t>:</w:t>
      </w:r>
    </w:p>
    <w:p w14:paraId="40C0CD64" w14:textId="77777777" w:rsidR="009C4012" w:rsidRDefault="009C4012">
      <w:pPr>
        <w:pStyle w:val="BodyText"/>
        <w:spacing w:before="10"/>
        <w:rPr>
          <w:sz w:val="20"/>
        </w:rPr>
      </w:pPr>
    </w:p>
    <w:p w14:paraId="3F9441C1" w14:textId="77777777" w:rsidR="009C4012" w:rsidRDefault="00862079">
      <w:pPr>
        <w:pStyle w:val="ListParagraph"/>
        <w:numPr>
          <w:ilvl w:val="1"/>
          <w:numId w:val="2"/>
        </w:numPr>
        <w:tabs>
          <w:tab w:val="left" w:pos="1234"/>
          <w:tab w:val="left" w:pos="1235"/>
        </w:tabs>
        <w:ind w:hanging="566"/>
        <w:rPr>
          <w:sz w:val="24"/>
        </w:rPr>
      </w:pPr>
      <w:r>
        <w:rPr>
          <w:sz w:val="24"/>
        </w:rPr>
        <w:t>Condition attained when the assets are protected against</w:t>
      </w:r>
      <w:r>
        <w:rPr>
          <w:spacing w:val="-11"/>
          <w:sz w:val="24"/>
        </w:rPr>
        <w:t xml:space="preserve"> </w:t>
      </w:r>
      <w:r>
        <w:rPr>
          <w:sz w:val="24"/>
        </w:rPr>
        <w:t>risks.</w:t>
      </w:r>
    </w:p>
    <w:p w14:paraId="35AB6D71" w14:textId="77777777" w:rsidR="009C4012" w:rsidRDefault="009C4012">
      <w:pPr>
        <w:pStyle w:val="BodyText"/>
        <w:spacing w:before="7"/>
        <w:rPr>
          <w:sz w:val="20"/>
        </w:rPr>
      </w:pPr>
    </w:p>
    <w:p w14:paraId="0C926A36" w14:textId="77777777" w:rsidR="009C4012" w:rsidRDefault="00862079">
      <w:pPr>
        <w:pStyle w:val="ListParagraph"/>
        <w:numPr>
          <w:ilvl w:val="1"/>
          <w:numId w:val="2"/>
        </w:numPr>
        <w:tabs>
          <w:tab w:val="left" w:pos="1234"/>
          <w:tab w:val="left" w:pos="1235"/>
        </w:tabs>
        <w:ind w:hanging="566"/>
        <w:rPr>
          <w:sz w:val="24"/>
        </w:rPr>
      </w:pPr>
      <w:r>
        <w:rPr>
          <w:sz w:val="24"/>
        </w:rPr>
        <w:t>The state of being safe</w:t>
      </w:r>
      <w:r>
        <w:rPr>
          <w:sz w:val="24"/>
        </w:rPr>
        <w:t>, i.e. free from harm, danger or</w:t>
      </w:r>
      <w:r>
        <w:rPr>
          <w:spacing w:val="-11"/>
          <w:sz w:val="24"/>
        </w:rPr>
        <w:t xml:space="preserve"> </w:t>
      </w:r>
      <w:r>
        <w:rPr>
          <w:sz w:val="24"/>
        </w:rPr>
        <w:t>risk.</w:t>
      </w:r>
    </w:p>
    <w:p w14:paraId="68014B25" w14:textId="77777777" w:rsidR="009C4012" w:rsidRDefault="009C4012">
      <w:pPr>
        <w:pStyle w:val="BodyText"/>
        <w:spacing w:before="10"/>
        <w:rPr>
          <w:sz w:val="20"/>
        </w:rPr>
      </w:pPr>
    </w:p>
    <w:p w14:paraId="14ACA6C2" w14:textId="77777777" w:rsidR="009C4012" w:rsidRDefault="00862079">
      <w:pPr>
        <w:pStyle w:val="ListParagraph"/>
        <w:numPr>
          <w:ilvl w:val="1"/>
          <w:numId w:val="2"/>
        </w:numPr>
        <w:tabs>
          <w:tab w:val="left" w:pos="1235"/>
        </w:tabs>
        <w:ind w:right="200" w:hanging="566"/>
        <w:jc w:val="both"/>
        <w:rPr>
          <w:sz w:val="24"/>
        </w:rPr>
      </w:pPr>
      <w:r>
        <w:rPr>
          <w:sz w:val="24"/>
        </w:rPr>
        <w:t xml:space="preserve">Set of measures needed to attain the </w:t>
      </w:r>
      <w:proofErr w:type="gramStart"/>
      <w:r>
        <w:rPr>
          <w:sz w:val="24"/>
        </w:rPr>
        <w:t>aforementioned condition</w:t>
      </w:r>
      <w:proofErr w:type="gramEnd"/>
      <w:r>
        <w:rPr>
          <w:sz w:val="24"/>
        </w:rPr>
        <w:t>. Depending on the assets protected and the nature of the measures, we can refer to different types of security, e.g. Information Security, Safety at Work, Personal Safety, Fire Safety,</w:t>
      </w:r>
      <w:r>
        <w:rPr>
          <w:spacing w:val="-10"/>
          <w:sz w:val="24"/>
        </w:rPr>
        <w:t xml:space="preserve"> </w:t>
      </w:r>
      <w:r>
        <w:rPr>
          <w:sz w:val="24"/>
        </w:rPr>
        <w:t>etc.</w:t>
      </w:r>
    </w:p>
    <w:p w14:paraId="3E860B90" w14:textId="77777777" w:rsidR="009C4012" w:rsidRDefault="009C4012">
      <w:pPr>
        <w:pStyle w:val="BodyText"/>
        <w:spacing w:before="10"/>
        <w:rPr>
          <w:sz w:val="20"/>
        </w:rPr>
      </w:pPr>
    </w:p>
    <w:p w14:paraId="377657CC" w14:textId="77777777" w:rsidR="009C4012" w:rsidRDefault="00862079">
      <w:pPr>
        <w:pStyle w:val="BodyText"/>
        <w:spacing w:before="1"/>
        <w:ind w:left="101" w:right="197"/>
        <w:jc w:val="both"/>
      </w:pPr>
      <w:r>
        <w:rPr>
          <w:u w:val="single"/>
        </w:rPr>
        <w:t>Bus</w:t>
      </w:r>
      <w:r>
        <w:rPr>
          <w:u w:val="single"/>
        </w:rPr>
        <w:t>iness Continuity Management System:</w:t>
      </w:r>
      <w:r>
        <w:t xml:space="preserve"> part of the global management system which establishes, implements, operates, monitors, reviews, maintains and improves the continuity of the business. According to ISO 22301.</w:t>
      </w:r>
    </w:p>
    <w:p w14:paraId="521307B2" w14:textId="77777777" w:rsidR="009C4012" w:rsidRDefault="009C4012">
      <w:pPr>
        <w:pStyle w:val="BodyText"/>
        <w:rPr>
          <w:sz w:val="26"/>
        </w:rPr>
      </w:pPr>
    </w:p>
    <w:p w14:paraId="3F1B28A8" w14:textId="77777777" w:rsidR="009C4012" w:rsidRDefault="009C4012">
      <w:pPr>
        <w:pStyle w:val="BodyText"/>
        <w:rPr>
          <w:sz w:val="26"/>
        </w:rPr>
      </w:pPr>
    </w:p>
    <w:p w14:paraId="0FF38B94" w14:textId="77777777" w:rsidR="009C4012" w:rsidRDefault="00862079">
      <w:pPr>
        <w:pStyle w:val="Heading1"/>
        <w:numPr>
          <w:ilvl w:val="0"/>
          <w:numId w:val="2"/>
        </w:numPr>
        <w:tabs>
          <w:tab w:val="left" w:pos="822"/>
        </w:tabs>
        <w:spacing w:before="160"/>
        <w:jc w:val="both"/>
      </w:pPr>
      <w:bookmarkStart w:id="2" w:name="II._Introduction"/>
      <w:bookmarkStart w:id="3" w:name="_bookmark1"/>
      <w:bookmarkEnd w:id="2"/>
      <w:bookmarkEnd w:id="3"/>
      <w:r>
        <w:t>Introduction</w:t>
      </w:r>
    </w:p>
    <w:p w14:paraId="0D3E5861" w14:textId="77777777" w:rsidR="009C4012" w:rsidRDefault="009C4012">
      <w:pPr>
        <w:pStyle w:val="BodyText"/>
        <w:spacing w:before="7"/>
        <w:rPr>
          <w:b/>
          <w:sz w:val="20"/>
        </w:rPr>
      </w:pPr>
    </w:p>
    <w:p w14:paraId="2BD129C7" w14:textId="20454162" w:rsidR="009C4012" w:rsidRDefault="00862079">
      <w:pPr>
        <w:pStyle w:val="BodyText"/>
        <w:spacing w:before="1"/>
        <w:ind w:left="101" w:right="197"/>
        <w:jc w:val="both"/>
      </w:pPr>
      <w:r>
        <w:t xml:space="preserve">The </w:t>
      </w:r>
      <w:r>
        <w:rPr>
          <w:i/>
        </w:rPr>
        <w:t xml:space="preserve">raison d’être </w:t>
      </w:r>
      <w:r>
        <w:t>of the Cor</w:t>
      </w:r>
      <w:r>
        <w:t xml:space="preserve">porate Security and Environment Function is to guarantee the normal development of the business, providing a safe environment in which </w:t>
      </w:r>
      <w:r>
        <w:t xml:space="preserve">perform its activities. For this purpose, it shall permanently protect its tangible and intangible assets and </w:t>
      </w:r>
      <w:r>
        <w:t>business processes from safety risks, especially ensuring the safety of people, compliance with applicable regulations and the preservation of the company’s good reputation and sustainability.</w:t>
      </w:r>
    </w:p>
    <w:p w14:paraId="123C7509" w14:textId="77777777" w:rsidR="009C4012" w:rsidRDefault="009C4012">
      <w:pPr>
        <w:pStyle w:val="BodyText"/>
        <w:spacing w:before="1"/>
        <w:rPr>
          <w:sz w:val="21"/>
        </w:rPr>
      </w:pPr>
    </w:p>
    <w:p w14:paraId="3462A786" w14:textId="797B96B1" w:rsidR="009C4012" w:rsidRDefault="00862079">
      <w:pPr>
        <w:pStyle w:val="BodyText"/>
        <w:ind w:left="101" w:right="197"/>
        <w:jc w:val="both"/>
      </w:pPr>
      <w:r>
        <w:t>In this sense, all the employees, managers and associates</w:t>
      </w:r>
      <w:r w:rsidR="00524792">
        <w:t xml:space="preserve"> </w:t>
      </w:r>
      <w:r>
        <w:t xml:space="preserve">have joint responsibility for protecting said assets and processes, and accordingly they shall use the resources provided </w:t>
      </w:r>
      <w:r>
        <w:t xml:space="preserve">in a professional </w:t>
      </w:r>
      <w:r>
        <w:rPr>
          <w:spacing w:val="-2"/>
        </w:rPr>
        <w:t xml:space="preserve">and </w:t>
      </w:r>
      <w:r>
        <w:t>responsible manner, informing of any situation they detect which may pose a risk for the company</w:t>
      </w:r>
      <w:r>
        <w:t xml:space="preserve"> and/or the persons belonging thereto and, in general, they shall apply with due diligence the measures in place for this</w:t>
      </w:r>
      <w:r>
        <w:rPr>
          <w:spacing w:val="-15"/>
        </w:rPr>
        <w:t xml:space="preserve"> </w:t>
      </w:r>
      <w:r>
        <w:t>purpose.</w:t>
      </w:r>
    </w:p>
    <w:p w14:paraId="47C17D92" w14:textId="77777777" w:rsidR="009C4012" w:rsidRDefault="009C4012">
      <w:pPr>
        <w:pStyle w:val="BodyText"/>
        <w:spacing w:before="10"/>
        <w:rPr>
          <w:sz w:val="20"/>
        </w:rPr>
      </w:pPr>
    </w:p>
    <w:p w14:paraId="64FB253A" w14:textId="52160DB5" w:rsidR="009C4012" w:rsidRDefault="00524792">
      <w:pPr>
        <w:pStyle w:val="BodyText"/>
        <w:ind w:left="101" w:right="199"/>
        <w:jc w:val="both"/>
      </w:pPr>
      <w:r>
        <w:t xml:space="preserve">It </w:t>
      </w:r>
      <w:proofErr w:type="gramStart"/>
      <w:r w:rsidR="00862079">
        <w:t>drive</w:t>
      </w:r>
      <w:proofErr w:type="gramEnd"/>
      <w:r w:rsidR="00862079">
        <w:t xml:space="preserve"> for leadership and its global vocation inspire, as the rest of the GROUP’s activities, its actions in the field of Safety, where it also strives to become a benchmark.</w:t>
      </w:r>
    </w:p>
    <w:p w14:paraId="11CFFE16" w14:textId="77777777" w:rsidR="009C4012" w:rsidRDefault="009C4012">
      <w:pPr>
        <w:jc w:val="both"/>
        <w:sectPr w:rsidR="009C4012">
          <w:pgSz w:w="11910" w:h="16840"/>
          <w:pgMar w:top="1320" w:right="1500" w:bottom="780" w:left="1600" w:header="0" w:footer="585" w:gutter="0"/>
          <w:cols w:space="720"/>
        </w:sectPr>
      </w:pPr>
    </w:p>
    <w:p w14:paraId="73534790" w14:textId="77777777" w:rsidR="009C4012" w:rsidRDefault="00862079">
      <w:pPr>
        <w:pStyle w:val="BodyText"/>
        <w:spacing w:before="73"/>
        <w:ind w:left="101" w:right="197"/>
        <w:jc w:val="both"/>
      </w:pPr>
      <w:r>
        <w:lastRenderedPageBreak/>
        <w:t>This Policy is aligned with MAPFRE’s Security and Envir</w:t>
      </w:r>
      <w:r>
        <w:t>onment Master Plan, which establishes the Strategic Framework and the model for the development of the GROUP’s Security and Environment actions.</w:t>
      </w:r>
    </w:p>
    <w:p w14:paraId="5CED5AA5" w14:textId="77777777" w:rsidR="009C4012" w:rsidRDefault="009C4012">
      <w:pPr>
        <w:pStyle w:val="BodyText"/>
        <w:rPr>
          <w:sz w:val="26"/>
        </w:rPr>
      </w:pPr>
    </w:p>
    <w:p w14:paraId="18BB452F" w14:textId="77777777" w:rsidR="009C4012" w:rsidRDefault="009C4012">
      <w:pPr>
        <w:pStyle w:val="BodyText"/>
        <w:rPr>
          <w:sz w:val="26"/>
        </w:rPr>
      </w:pPr>
    </w:p>
    <w:p w14:paraId="6359DC5C" w14:textId="77777777" w:rsidR="009C4012" w:rsidRDefault="00862079">
      <w:pPr>
        <w:pStyle w:val="Heading1"/>
        <w:numPr>
          <w:ilvl w:val="0"/>
          <w:numId w:val="2"/>
        </w:numPr>
        <w:tabs>
          <w:tab w:val="left" w:pos="821"/>
          <w:tab w:val="left" w:pos="822"/>
        </w:tabs>
      </w:pPr>
      <w:bookmarkStart w:id="4" w:name="III._Scope"/>
      <w:bookmarkStart w:id="5" w:name="_bookmark2"/>
      <w:bookmarkEnd w:id="4"/>
      <w:bookmarkEnd w:id="5"/>
      <w:r>
        <w:t>Scope</w:t>
      </w:r>
    </w:p>
    <w:p w14:paraId="0967AFC9" w14:textId="77777777" w:rsidR="009C4012" w:rsidRDefault="009C4012">
      <w:pPr>
        <w:pStyle w:val="BodyText"/>
        <w:spacing w:before="10"/>
        <w:rPr>
          <w:b/>
          <w:sz w:val="20"/>
        </w:rPr>
      </w:pPr>
    </w:p>
    <w:p w14:paraId="69CF56E2" w14:textId="28F42F19" w:rsidR="009C4012" w:rsidRDefault="00862079">
      <w:pPr>
        <w:pStyle w:val="BodyText"/>
        <w:ind w:left="101" w:right="212"/>
      </w:pPr>
      <w:r>
        <w:t xml:space="preserve">This Business Continuity Policy must be observed across the </w:t>
      </w:r>
      <w:r>
        <w:t>GROUP.</w:t>
      </w:r>
    </w:p>
    <w:p w14:paraId="52450407" w14:textId="77777777" w:rsidR="009C4012" w:rsidRDefault="009C4012">
      <w:pPr>
        <w:pStyle w:val="BodyText"/>
        <w:rPr>
          <w:sz w:val="26"/>
        </w:rPr>
      </w:pPr>
    </w:p>
    <w:p w14:paraId="3CB857E9" w14:textId="77777777" w:rsidR="009C4012" w:rsidRDefault="009C4012">
      <w:pPr>
        <w:pStyle w:val="BodyText"/>
        <w:rPr>
          <w:sz w:val="26"/>
        </w:rPr>
      </w:pPr>
    </w:p>
    <w:p w14:paraId="0711578C" w14:textId="77777777" w:rsidR="009C4012" w:rsidRDefault="00862079">
      <w:pPr>
        <w:pStyle w:val="Heading1"/>
        <w:numPr>
          <w:ilvl w:val="0"/>
          <w:numId w:val="2"/>
        </w:numPr>
        <w:tabs>
          <w:tab w:val="left" w:pos="821"/>
          <w:tab w:val="left" w:pos="822"/>
        </w:tabs>
      </w:pPr>
      <w:bookmarkStart w:id="6" w:name="IV._Purpose"/>
      <w:bookmarkStart w:id="7" w:name="_bookmark3"/>
      <w:bookmarkEnd w:id="6"/>
      <w:bookmarkEnd w:id="7"/>
      <w:r>
        <w:t>Purpose</w:t>
      </w:r>
    </w:p>
    <w:p w14:paraId="3F58376D" w14:textId="77777777" w:rsidR="009C4012" w:rsidRDefault="009C4012">
      <w:pPr>
        <w:pStyle w:val="BodyText"/>
        <w:spacing w:before="10"/>
        <w:rPr>
          <w:b/>
          <w:sz w:val="20"/>
        </w:rPr>
      </w:pPr>
    </w:p>
    <w:p w14:paraId="365338D3" w14:textId="2874EEA6" w:rsidR="009C4012" w:rsidRDefault="00862079">
      <w:pPr>
        <w:pStyle w:val="BodyText"/>
        <w:ind w:left="101" w:right="212"/>
      </w:pPr>
      <w:r>
        <w:t xml:space="preserve">This Policy establishes the framework for the development, implementation, review and improvement </w:t>
      </w:r>
      <w:proofErr w:type="gramStart"/>
      <w:r>
        <w:t xml:space="preserve">of </w:t>
      </w:r>
      <w:r>
        <w:t xml:space="preserve"> Business</w:t>
      </w:r>
      <w:proofErr w:type="gramEnd"/>
      <w:r>
        <w:t xml:space="preserve"> Continuity Plans, which shall:</w:t>
      </w:r>
    </w:p>
    <w:p w14:paraId="31B7C388" w14:textId="77777777" w:rsidR="009C4012" w:rsidRDefault="009C4012">
      <w:pPr>
        <w:pStyle w:val="BodyText"/>
        <w:spacing w:before="11"/>
        <w:rPr>
          <w:sz w:val="20"/>
        </w:rPr>
      </w:pPr>
    </w:p>
    <w:p w14:paraId="71D4F9D1" w14:textId="77777777" w:rsidR="009C4012" w:rsidRDefault="00862079">
      <w:pPr>
        <w:pStyle w:val="ListParagraph"/>
        <w:numPr>
          <w:ilvl w:val="0"/>
          <w:numId w:val="1"/>
        </w:numPr>
        <w:tabs>
          <w:tab w:val="left" w:pos="882"/>
        </w:tabs>
        <w:ind w:right="197"/>
        <w:rPr>
          <w:sz w:val="24"/>
        </w:rPr>
      </w:pPr>
      <w:r>
        <w:rPr>
          <w:sz w:val="24"/>
        </w:rPr>
        <w:t>Generate an adequate and suitable response should a safety or environmental risk of a catastrophic nature</w:t>
      </w:r>
      <w:r>
        <w:rPr>
          <w:sz w:val="24"/>
        </w:rPr>
        <w:t xml:space="preserve"> </w:t>
      </w:r>
      <w:proofErr w:type="spellStart"/>
      <w:r>
        <w:rPr>
          <w:sz w:val="24"/>
        </w:rPr>
        <w:t>materialise</w:t>
      </w:r>
      <w:proofErr w:type="spellEnd"/>
      <w:r>
        <w:rPr>
          <w:sz w:val="24"/>
        </w:rPr>
        <w:t>, leading to the lack of availability of any of the basic components of the GROUP’s activity: people, premises and offices, technology, information and providers.</w:t>
      </w:r>
    </w:p>
    <w:p w14:paraId="1280B6B9" w14:textId="77777777" w:rsidR="009C4012" w:rsidRDefault="009C4012">
      <w:pPr>
        <w:pStyle w:val="BodyText"/>
        <w:spacing w:before="10"/>
        <w:rPr>
          <w:sz w:val="23"/>
        </w:rPr>
      </w:pPr>
    </w:p>
    <w:p w14:paraId="6EEE8AFB" w14:textId="77777777" w:rsidR="009C4012" w:rsidRDefault="00862079">
      <w:pPr>
        <w:pStyle w:val="ListParagraph"/>
        <w:numPr>
          <w:ilvl w:val="0"/>
          <w:numId w:val="1"/>
        </w:numPr>
        <w:tabs>
          <w:tab w:val="left" w:pos="882"/>
        </w:tabs>
        <w:ind w:right="197"/>
        <w:rPr>
          <w:sz w:val="24"/>
        </w:rPr>
      </w:pPr>
      <w:r>
        <w:rPr>
          <w:sz w:val="24"/>
        </w:rPr>
        <w:t xml:space="preserve">Reduce the impact of possible catastrophes on business activities, securing the </w:t>
      </w:r>
      <w:r>
        <w:rPr>
          <w:sz w:val="24"/>
        </w:rPr>
        <w:t>preservation of key data and functions and, where not possible, the progressive recovery of said data or functions as appropriate, until normality is</w:t>
      </w:r>
      <w:r>
        <w:rPr>
          <w:spacing w:val="-8"/>
          <w:sz w:val="24"/>
        </w:rPr>
        <w:t xml:space="preserve"> </w:t>
      </w:r>
      <w:r>
        <w:rPr>
          <w:sz w:val="24"/>
        </w:rPr>
        <w:t>restored.</w:t>
      </w:r>
    </w:p>
    <w:p w14:paraId="5056ACBA" w14:textId="77777777" w:rsidR="009C4012" w:rsidRDefault="009C4012">
      <w:pPr>
        <w:pStyle w:val="BodyText"/>
        <w:rPr>
          <w:sz w:val="26"/>
        </w:rPr>
      </w:pPr>
    </w:p>
    <w:p w14:paraId="282D4AFE" w14:textId="77777777" w:rsidR="009C4012" w:rsidRDefault="009C4012">
      <w:pPr>
        <w:pStyle w:val="BodyText"/>
        <w:spacing w:before="8"/>
        <w:rPr>
          <w:sz w:val="32"/>
        </w:rPr>
      </w:pPr>
    </w:p>
    <w:p w14:paraId="6CA2A991" w14:textId="77777777" w:rsidR="009C4012" w:rsidRDefault="00862079">
      <w:pPr>
        <w:pStyle w:val="Heading1"/>
        <w:numPr>
          <w:ilvl w:val="0"/>
          <w:numId w:val="2"/>
        </w:numPr>
        <w:tabs>
          <w:tab w:val="left" w:pos="821"/>
          <w:tab w:val="left" w:pos="822"/>
        </w:tabs>
        <w:spacing w:before="0"/>
      </w:pPr>
      <w:bookmarkStart w:id="8" w:name="V._Principles_and_Commitments"/>
      <w:bookmarkStart w:id="9" w:name="_bookmark4"/>
      <w:bookmarkEnd w:id="8"/>
      <w:bookmarkEnd w:id="9"/>
      <w:r>
        <w:t>Principles and</w:t>
      </w:r>
      <w:r>
        <w:rPr>
          <w:spacing w:val="-2"/>
        </w:rPr>
        <w:t xml:space="preserve"> </w:t>
      </w:r>
      <w:r>
        <w:t>Commitments</w:t>
      </w:r>
    </w:p>
    <w:p w14:paraId="375021D4" w14:textId="77777777" w:rsidR="009C4012" w:rsidRDefault="009C4012">
      <w:pPr>
        <w:pStyle w:val="BodyText"/>
        <w:spacing w:before="10"/>
        <w:rPr>
          <w:b/>
          <w:sz w:val="20"/>
        </w:rPr>
      </w:pPr>
    </w:p>
    <w:p w14:paraId="182E8920" w14:textId="77777777" w:rsidR="009C4012" w:rsidRDefault="00862079">
      <w:pPr>
        <w:pStyle w:val="BodyText"/>
        <w:ind w:left="101" w:right="212"/>
      </w:pPr>
      <w:r>
        <w:t>The Business Continuity Policy shall be based on the following pri</w:t>
      </w:r>
      <w:r>
        <w:t>nciples and commitments:</w:t>
      </w:r>
    </w:p>
    <w:p w14:paraId="4C4F5290" w14:textId="77777777" w:rsidR="009C4012" w:rsidRDefault="009C4012">
      <w:pPr>
        <w:pStyle w:val="BodyText"/>
        <w:spacing w:before="10"/>
        <w:rPr>
          <w:sz w:val="20"/>
        </w:rPr>
      </w:pPr>
    </w:p>
    <w:p w14:paraId="1A1F3229" w14:textId="77777777" w:rsidR="009C4012" w:rsidRDefault="00862079">
      <w:pPr>
        <w:pStyle w:val="ListParagraph"/>
        <w:numPr>
          <w:ilvl w:val="1"/>
          <w:numId w:val="2"/>
        </w:numPr>
        <w:tabs>
          <w:tab w:val="left" w:pos="954"/>
        </w:tabs>
        <w:spacing w:before="1"/>
        <w:ind w:left="953" w:right="198" w:hanging="569"/>
        <w:jc w:val="both"/>
        <w:rPr>
          <w:sz w:val="24"/>
        </w:rPr>
      </w:pPr>
      <w:r>
        <w:rPr>
          <w:sz w:val="24"/>
        </w:rPr>
        <w:t>The protection and safety of people shall be the first premise and ultimate objective of this Policy, both under normal circumstances and during a crisis resulting from a</w:t>
      </w:r>
      <w:r>
        <w:rPr>
          <w:spacing w:val="-3"/>
          <w:sz w:val="24"/>
        </w:rPr>
        <w:t xml:space="preserve"> </w:t>
      </w:r>
      <w:r>
        <w:rPr>
          <w:sz w:val="24"/>
        </w:rPr>
        <w:t>disaster.</w:t>
      </w:r>
    </w:p>
    <w:p w14:paraId="39D40C30" w14:textId="77777777" w:rsidR="009C4012" w:rsidRDefault="009C4012">
      <w:pPr>
        <w:pStyle w:val="BodyText"/>
        <w:spacing w:before="9"/>
        <w:rPr>
          <w:sz w:val="20"/>
        </w:rPr>
      </w:pPr>
    </w:p>
    <w:p w14:paraId="16E4573F" w14:textId="77777777" w:rsidR="009C4012" w:rsidRDefault="00862079">
      <w:pPr>
        <w:pStyle w:val="ListParagraph"/>
        <w:numPr>
          <w:ilvl w:val="1"/>
          <w:numId w:val="2"/>
        </w:numPr>
        <w:tabs>
          <w:tab w:val="left" w:pos="954"/>
        </w:tabs>
        <w:spacing w:before="1"/>
        <w:ind w:left="953" w:right="197" w:hanging="569"/>
        <w:jc w:val="both"/>
        <w:rPr>
          <w:sz w:val="24"/>
        </w:rPr>
      </w:pPr>
      <w:r>
        <w:rPr>
          <w:sz w:val="24"/>
        </w:rPr>
        <w:t>The designation of representatives in the various areas with appropriate experience and knowledge to actively participate in the preparation, implementation, review, verification and amendment of the Business Continuity</w:t>
      </w:r>
      <w:r>
        <w:rPr>
          <w:spacing w:val="-3"/>
          <w:sz w:val="24"/>
        </w:rPr>
        <w:t xml:space="preserve"> </w:t>
      </w:r>
      <w:r>
        <w:rPr>
          <w:sz w:val="24"/>
        </w:rPr>
        <w:t>Plans.</w:t>
      </w:r>
    </w:p>
    <w:p w14:paraId="50F3BC24" w14:textId="77777777" w:rsidR="009C4012" w:rsidRDefault="009C4012">
      <w:pPr>
        <w:pStyle w:val="BodyText"/>
        <w:spacing w:before="10"/>
        <w:rPr>
          <w:sz w:val="20"/>
        </w:rPr>
      </w:pPr>
    </w:p>
    <w:p w14:paraId="31858A05" w14:textId="77777777" w:rsidR="009C4012" w:rsidRDefault="00862079">
      <w:pPr>
        <w:pStyle w:val="ListParagraph"/>
        <w:numPr>
          <w:ilvl w:val="1"/>
          <w:numId w:val="2"/>
        </w:numPr>
        <w:tabs>
          <w:tab w:val="left" w:pos="954"/>
        </w:tabs>
        <w:ind w:left="953" w:right="193" w:hanging="569"/>
        <w:jc w:val="both"/>
        <w:rPr>
          <w:sz w:val="24"/>
        </w:rPr>
      </w:pPr>
      <w:r>
        <w:rPr>
          <w:sz w:val="24"/>
        </w:rPr>
        <w:t>The development and implemen</w:t>
      </w:r>
      <w:r>
        <w:rPr>
          <w:sz w:val="24"/>
        </w:rPr>
        <w:t xml:space="preserve">tation of Business Continuity Plans by the GROUP Companies, </w:t>
      </w:r>
      <w:proofErr w:type="gramStart"/>
      <w:r>
        <w:rPr>
          <w:sz w:val="24"/>
        </w:rPr>
        <w:t>taking into account</w:t>
      </w:r>
      <w:proofErr w:type="gramEnd"/>
      <w:r>
        <w:rPr>
          <w:sz w:val="24"/>
        </w:rPr>
        <w:t xml:space="preserve"> the internal areas and departments, suppliers and services and using adequate and proportionate systems, resources and</w:t>
      </w:r>
      <w:r>
        <w:rPr>
          <w:spacing w:val="-6"/>
          <w:sz w:val="24"/>
        </w:rPr>
        <w:t xml:space="preserve"> </w:t>
      </w:r>
      <w:r>
        <w:rPr>
          <w:sz w:val="24"/>
        </w:rPr>
        <w:t>procedures.</w:t>
      </w:r>
    </w:p>
    <w:p w14:paraId="6B0CAC98" w14:textId="77777777" w:rsidR="009C4012" w:rsidRDefault="009C4012">
      <w:pPr>
        <w:pStyle w:val="BodyText"/>
        <w:spacing w:before="10"/>
        <w:rPr>
          <w:sz w:val="20"/>
        </w:rPr>
      </w:pPr>
    </w:p>
    <w:p w14:paraId="604627B2" w14:textId="77777777" w:rsidR="009C4012" w:rsidRDefault="00862079">
      <w:pPr>
        <w:pStyle w:val="ListParagraph"/>
        <w:numPr>
          <w:ilvl w:val="1"/>
          <w:numId w:val="2"/>
        </w:numPr>
        <w:tabs>
          <w:tab w:val="left" w:pos="954"/>
        </w:tabs>
        <w:ind w:left="953" w:right="197" w:hanging="569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maximisation</w:t>
      </w:r>
      <w:proofErr w:type="spellEnd"/>
      <w:r>
        <w:rPr>
          <w:sz w:val="24"/>
        </w:rPr>
        <w:t xml:space="preserve"> of the synergies generated </w:t>
      </w:r>
      <w:r>
        <w:rPr>
          <w:sz w:val="24"/>
        </w:rPr>
        <w:t xml:space="preserve">through the development </w:t>
      </w:r>
      <w:proofErr w:type="gramStart"/>
      <w:r>
        <w:rPr>
          <w:sz w:val="24"/>
        </w:rPr>
        <w:t xml:space="preserve">and </w:t>
      </w:r>
      <w:r>
        <w:rPr>
          <w:spacing w:val="36"/>
          <w:sz w:val="24"/>
        </w:rPr>
        <w:t xml:space="preserve"> </w:t>
      </w:r>
      <w:r>
        <w:rPr>
          <w:sz w:val="24"/>
        </w:rPr>
        <w:t>implementation</w:t>
      </w:r>
      <w:proofErr w:type="gramEnd"/>
      <w:r>
        <w:rPr>
          <w:sz w:val="24"/>
        </w:rPr>
        <w:t xml:space="preserve"> 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Business </w:t>
      </w:r>
      <w:r>
        <w:rPr>
          <w:spacing w:val="35"/>
          <w:sz w:val="24"/>
        </w:rPr>
        <w:t xml:space="preserve"> </w:t>
      </w:r>
      <w:r>
        <w:rPr>
          <w:sz w:val="24"/>
        </w:rPr>
        <w:t xml:space="preserve">Continuity 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Plans </w:t>
      </w:r>
      <w:r>
        <w:rPr>
          <w:spacing w:val="35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36"/>
          <w:sz w:val="24"/>
        </w:rPr>
        <w:t xml:space="preserve"> </w:t>
      </w:r>
      <w:r>
        <w:rPr>
          <w:sz w:val="24"/>
        </w:rPr>
        <w:t>GROUP</w:t>
      </w:r>
    </w:p>
    <w:p w14:paraId="7E6DC7D4" w14:textId="77777777" w:rsidR="009C4012" w:rsidRDefault="009C4012">
      <w:pPr>
        <w:jc w:val="both"/>
        <w:rPr>
          <w:sz w:val="24"/>
        </w:rPr>
        <w:sectPr w:rsidR="009C4012">
          <w:pgSz w:w="11910" w:h="16840"/>
          <w:pgMar w:top="1320" w:right="1500" w:bottom="780" w:left="1600" w:header="0" w:footer="585" w:gutter="0"/>
          <w:cols w:space="720"/>
        </w:sectPr>
      </w:pPr>
    </w:p>
    <w:p w14:paraId="54980CFF" w14:textId="3ABF8EED" w:rsidR="009C4012" w:rsidRDefault="00862079">
      <w:pPr>
        <w:pStyle w:val="BodyText"/>
        <w:spacing w:before="73"/>
        <w:ind w:left="953" w:right="212"/>
      </w:pPr>
      <w:r>
        <w:lastRenderedPageBreak/>
        <w:t xml:space="preserve">Companies, taking into consideration </w:t>
      </w:r>
      <w:r>
        <w:t>common means and resources.</w:t>
      </w:r>
    </w:p>
    <w:p w14:paraId="68376B93" w14:textId="77777777" w:rsidR="009C4012" w:rsidRDefault="009C4012">
      <w:pPr>
        <w:pStyle w:val="BodyText"/>
        <w:spacing w:before="10"/>
        <w:rPr>
          <w:sz w:val="20"/>
        </w:rPr>
      </w:pPr>
    </w:p>
    <w:p w14:paraId="3126D78C" w14:textId="77777777" w:rsidR="009C4012" w:rsidRDefault="00862079">
      <w:pPr>
        <w:pStyle w:val="ListParagraph"/>
        <w:numPr>
          <w:ilvl w:val="1"/>
          <w:numId w:val="2"/>
        </w:numPr>
        <w:tabs>
          <w:tab w:val="left" w:pos="954"/>
        </w:tabs>
        <w:ind w:left="953" w:right="196" w:hanging="569"/>
        <w:jc w:val="both"/>
        <w:rPr>
          <w:sz w:val="24"/>
        </w:rPr>
      </w:pPr>
      <w:r>
        <w:rPr>
          <w:sz w:val="24"/>
        </w:rPr>
        <w:t>The adoption of reasonable measures to ensure the operational continuity of processes and activities, based on their criticality as established by 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Organisation</w:t>
      </w:r>
      <w:proofErr w:type="spellEnd"/>
      <w:r>
        <w:rPr>
          <w:sz w:val="24"/>
        </w:rPr>
        <w:t>.</w:t>
      </w:r>
    </w:p>
    <w:p w14:paraId="3A27D3FA" w14:textId="77777777" w:rsidR="009C4012" w:rsidRDefault="009C4012">
      <w:pPr>
        <w:pStyle w:val="BodyText"/>
        <w:spacing w:before="10"/>
        <w:rPr>
          <w:sz w:val="20"/>
        </w:rPr>
      </w:pPr>
    </w:p>
    <w:p w14:paraId="24FBE78D" w14:textId="77777777" w:rsidR="009C4012" w:rsidRDefault="00862079">
      <w:pPr>
        <w:pStyle w:val="ListParagraph"/>
        <w:numPr>
          <w:ilvl w:val="1"/>
          <w:numId w:val="2"/>
        </w:numPr>
        <w:tabs>
          <w:tab w:val="left" w:pos="954"/>
        </w:tabs>
        <w:ind w:left="953" w:right="198" w:hanging="569"/>
        <w:jc w:val="both"/>
        <w:rPr>
          <w:sz w:val="24"/>
        </w:rPr>
      </w:pPr>
      <w:r>
        <w:rPr>
          <w:sz w:val="24"/>
        </w:rPr>
        <w:t>The inclusion of safety and reliability criteria which reasonably ensure the continuity of</w:t>
      </w:r>
      <w:r>
        <w:rPr>
          <w:sz w:val="24"/>
        </w:rPr>
        <w:t xml:space="preserve"> the critical services provided by third parties, should said services be</w:t>
      </w:r>
      <w:r>
        <w:rPr>
          <w:spacing w:val="-1"/>
          <w:sz w:val="24"/>
        </w:rPr>
        <w:t xml:space="preserve"> </w:t>
      </w:r>
      <w:r>
        <w:rPr>
          <w:sz w:val="24"/>
        </w:rPr>
        <w:t>outsourced.</w:t>
      </w:r>
    </w:p>
    <w:p w14:paraId="6EEEDBDE" w14:textId="77777777" w:rsidR="009C4012" w:rsidRDefault="009C4012">
      <w:pPr>
        <w:pStyle w:val="BodyText"/>
        <w:spacing w:before="10"/>
        <w:rPr>
          <w:sz w:val="20"/>
        </w:rPr>
      </w:pPr>
    </w:p>
    <w:p w14:paraId="5C75D712" w14:textId="77777777" w:rsidR="009C4012" w:rsidRDefault="00862079">
      <w:pPr>
        <w:pStyle w:val="ListParagraph"/>
        <w:numPr>
          <w:ilvl w:val="1"/>
          <w:numId w:val="2"/>
        </w:numPr>
        <w:tabs>
          <w:tab w:val="left" w:pos="954"/>
        </w:tabs>
        <w:ind w:left="953" w:right="198" w:hanging="569"/>
        <w:jc w:val="both"/>
        <w:rPr>
          <w:sz w:val="24"/>
        </w:rPr>
      </w:pPr>
      <w:r>
        <w:rPr>
          <w:sz w:val="24"/>
        </w:rPr>
        <w:t>The preparation, within the Business Continuity Plans, of appropriate communication procedures, both internal and external, which ensure their correct execution and timely delivery of information to all the interested parties.</w:t>
      </w:r>
    </w:p>
    <w:p w14:paraId="2FC8BE75" w14:textId="77777777" w:rsidR="009C4012" w:rsidRDefault="009C4012">
      <w:pPr>
        <w:pStyle w:val="BodyText"/>
        <w:spacing w:before="10"/>
        <w:rPr>
          <w:sz w:val="20"/>
        </w:rPr>
      </w:pPr>
    </w:p>
    <w:p w14:paraId="433F5E14" w14:textId="77777777" w:rsidR="009C4012" w:rsidRDefault="00862079">
      <w:pPr>
        <w:pStyle w:val="ListParagraph"/>
        <w:numPr>
          <w:ilvl w:val="1"/>
          <w:numId w:val="2"/>
        </w:numPr>
        <w:tabs>
          <w:tab w:val="left" w:pos="954"/>
        </w:tabs>
        <w:ind w:left="953" w:right="194" w:hanging="569"/>
        <w:jc w:val="both"/>
        <w:rPr>
          <w:sz w:val="24"/>
        </w:rPr>
      </w:pPr>
      <w:r>
        <w:rPr>
          <w:sz w:val="24"/>
        </w:rPr>
        <w:t>The communication to all the</w:t>
      </w:r>
      <w:r>
        <w:rPr>
          <w:sz w:val="24"/>
        </w:rPr>
        <w:t xml:space="preserve"> employees of their responsibilities and the procedures that may affect them, within the business continuity framework and through dissemination and training</w:t>
      </w:r>
      <w:r>
        <w:rPr>
          <w:spacing w:val="-8"/>
          <w:sz w:val="24"/>
        </w:rPr>
        <w:t xml:space="preserve"> </w:t>
      </w:r>
      <w:r>
        <w:rPr>
          <w:sz w:val="24"/>
        </w:rPr>
        <w:t>activities.</w:t>
      </w:r>
    </w:p>
    <w:p w14:paraId="7108FB5B" w14:textId="77777777" w:rsidR="009C4012" w:rsidRDefault="009C4012">
      <w:pPr>
        <w:pStyle w:val="BodyText"/>
        <w:spacing w:before="10"/>
        <w:rPr>
          <w:sz w:val="20"/>
        </w:rPr>
      </w:pPr>
    </w:p>
    <w:p w14:paraId="009FC6F3" w14:textId="77777777" w:rsidR="009C4012" w:rsidRDefault="00862079">
      <w:pPr>
        <w:pStyle w:val="ListParagraph"/>
        <w:numPr>
          <w:ilvl w:val="1"/>
          <w:numId w:val="2"/>
        </w:numPr>
        <w:tabs>
          <w:tab w:val="left" w:pos="954"/>
        </w:tabs>
        <w:ind w:left="953" w:right="196" w:hanging="569"/>
        <w:jc w:val="both"/>
        <w:rPr>
          <w:sz w:val="24"/>
        </w:rPr>
      </w:pPr>
      <w:r>
        <w:rPr>
          <w:sz w:val="24"/>
        </w:rPr>
        <w:t>The development of a Business Continuity Management System which includes reviews, ve</w:t>
      </w:r>
      <w:r>
        <w:rPr>
          <w:sz w:val="24"/>
        </w:rPr>
        <w:t>rifications and amendments of the Business Continuity Plans, either on a regular basis or when significant changes arise, with the aim of continuously improving</w:t>
      </w:r>
      <w:r>
        <w:rPr>
          <w:spacing w:val="-4"/>
          <w:sz w:val="24"/>
        </w:rPr>
        <w:t xml:space="preserve"> </w:t>
      </w:r>
      <w:r>
        <w:rPr>
          <w:sz w:val="24"/>
        </w:rPr>
        <w:t>them.</w:t>
      </w:r>
    </w:p>
    <w:p w14:paraId="0CA0198B" w14:textId="77777777" w:rsidR="009C4012" w:rsidRDefault="009C4012">
      <w:pPr>
        <w:pStyle w:val="BodyText"/>
        <w:spacing w:before="10"/>
        <w:rPr>
          <w:sz w:val="20"/>
        </w:rPr>
      </w:pPr>
    </w:p>
    <w:p w14:paraId="7500A4FD" w14:textId="24E1B17C" w:rsidR="009C4012" w:rsidRDefault="00862079">
      <w:pPr>
        <w:pStyle w:val="ListParagraph"/>
        <w:numPr>
          <w:ilvl w:val="1"/>
          <w:numId w:val="2"/>
        </w:numPr>
        <w:tabs>
          <w:tab w:val="left" w:pos="954"/>
        </w:tabs>
        <w:spacing w:before="1"/>
        <w:ind w:left="953" w:right="196" w:hanging="569"/>
        <w:jc w:val="both"/>
        <w:rPr>
          <w:sz w:val="24"/>
        </w:rPr>
      </w:pPr>
      <w:r>
        <w:rPr>
          <w:sz w:val="24"/>
        </w:rPr>
        <w:t xml:space="preserve">The constant willingness to cooperate with the authorities in case of disaster or need, </w:t>
      </w:r>
      <w:r>
        <w:rPr>
          <w:sz w:val="24"/>
        </w:rPr>
        <w:t xml:space="preserve">as part of the spirit of service that inspires all </w:t>
      </w:r>
      <w:r>
        <w:rPr>
          <w:sz w:val="24"/>
        </w:rPr>
        <w:t>activities and its responsibility towards the Society in which it operates.</w:t>
      </w:r>
    </w:p>
    <w:p w14:paraId="34C66BCB" w14:textId="77777777" w:rsidR="009C4012" w:rsidRDefault="009C4012">
      <w:pPr>
        <w:pStyle w:val="BodyText"/>
        <w:rPr>
          <w:sz w:val="26"/>
        </w:rPr>
      </w:pPr>
    </w:p>
    <w:p w14:paraId="3B221FF1" w14:textId="77777777" w:rsidR="009C4012" w:rsidRDefault="009C4012">
      <w:pPr>
        <w:pStyle w:val="BodyText"/>
        <w:rPr>
          <w:sz w:val="26"/>
        </w:rPr>
      </w:pPr>
    </w:p>
    <w:p w14:paraId="2730282F" w14:textId="77777777" w:rsidR="009C4012" w:rsidRDefault="00862079">
      <w:pPr>
        <w:pStyle w:val="Heading1"/>
        <w:numPr>
          <w:ilvl w:val="0"/>
          <w:numId w:val="2"/>
        </w:numPr>
        <w:tabs>
          <w:tab w:val="left" w:pos="821"/>
          <w:tab w:val="left" w:pos="822"/>
        </w:tabs>
      </w:pPr>
      <w:bookmarkStart w:id="10" w:name="VI._Responsibilities"/>
      <w:bookmarkStart w:id="11" w:name="_bookmark5"/>
      <w:bookmarkEnd w:id="10"/>
      <w:bookmarkEnd w:id="11"/>
      <w:r>
        <w:t>Responsibilities</w:t>
      </w:r>
    </w:p>
    <w:p w14:paraId="7D825F6C" w14:textId="77777777" w:rsidR="009C4012" w:rsidRDefault="009C4012">
      <w:pPr>
        <w:pStyle w:val="BodyText"/>
        <w:spacing w:before="10"/>
        <w:rPr>
          <w:b/>
          <w:sz w:val="20"/>
        </w:rPr>
      </w:pPr>
    </w:p>
    <w:p w14:paraId="0D93B5F6" w14:textId="3D7CD4EB" w:rsidR="009C4012" w:rsidRDefault="00862079">
      <w:pPr>
        <w:pStyle w:val="BodyText"/>
        <w:ind w:left="101" w:right="197"/>
        <w:jc w:val="both"/>
      </w:pPr>
      <w:r>
        <w:t xml:space="preserve">The GROUP Security and Environment Committee and, following a delegation from said body, the Crisis </w:t>
      </w:r>
      <w:r>
        <w:t>and Business Continuity Committee shall be responsible for promoting the development and implementation of the Business Continuity Plans</w:t>
      </w:r>
      <w:r>
        <w:t>, establishing and coordinating business continuity activities, while ensuring the enforce</w:t>
      </w:r>
      <w:r>
        <w:t>ment, dissemination and periodic revision of this Policy.</w:t>
      </w:r>
    </w:p>
    <w:p w14:paraId="76B85E6E" w14:textId="77777777" w:rsidR="009C4012" w:rsidRDefault="009C4012">
      <w:pPr>
        <w:pStyle w:val="BodyText"/>
        <w:spacing w:before="10"/>
        <w:rPr>
          <w:sz w:val="20"/>
        </w:rPr>
      </w:pPr>
    </w:p>
    <w:p w14:paraId="1A0B876B" w14:textId="448E8335" w:rsidR="009C4012" w:rsidRDefault="00862079">
      <w:pPr>
        <w:pStyle w:val="BodyText"/>
        <w:ind w:left="101" w:right="194"/>
        <w:jc w:val="both"/>
      </w:pPr>
      <w:r>
        <w:t>Likewise, said Committee shall assume the executive direction and management of those crises resulting from a disaster, which have a global or multi-entity impact, require extraordinary economic investments or may significantly affect the reputation</w:t>
      </w:r>
      <w:r w:rsidR="00524792">
        <w:t>.</w:t>
      </w:r>
    </w:p>
    <w:p w14:paraId="4756C540" w14:textId="77777777" w:rsidR="009C4012" w:rsidRDefault="009C4012">
      <w:pPr>
        <w:pStyle w:val="BodyText"/>
        <w:spacing w:before="10"/>
        <w:rPr>
          <w:sz w:val="20"/>
        </w:rPr>
      </w:pPr>
    </w:p>
    <w:p w14:paraId="249EE2AA" w14:textId="77777777" w:rsidR="009C4012" w:rsidRDefault="00862079">
      <w:pPr>
        <w:pStyle w:val="BodyText"/>
        <w:ind w:left="3563" w:right="3301"/>
        <w:jc w:val="center"/>
      </w:pPr>
      <w:r>
        <w:t>* * * * * * * * *</w:t>
      </w:r>
    </w:p>
    <w:p w14:paraId="7E6A4F06" w14:textId="77777777" w:rsidR="009C4012" w:rsidRDefault="009C4012">
      <w:pPr>
        <w:pStyle w:val="BodyText"/>
        <w:rPr>
          <w:sz w:val="21"/>
        </w:rPr>
      </w:pPr>
    </w:p>
    <w:p w14:paraId="4F668D05" w14:textId="2A4C6F0F" w:rsidR="009C4012" w:rsidRDefault="009C4012">
      <w:pPr>
        <w:ind w:right="197"/>
        <w:jc w:val="right"/>
        <w:rPr>
          <w:i/>
          <w:sz w:val="18"/>
        </w:rPr>
      </w:pPr>
      <w:bookmarkStart w:id="12" w:name="_GoBack"/>
      <w:bookmarkEnd w:id="12"/>
    </w:p>
    <w:sectPr w:rsidR="009C4012">
      <w:pgSz w:w="11910" w:h="16840"/>
      <w:pgMar w:top="1320" w:right="1500" w:bottom="780" w:left="1600" w:header="0" w:footer="5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F37E9" w14:textId="77777777" w:rsidR="00862079" w:rsidRDefault="00862079">
      <w:r>
        <w:separator/>
      </w:r>
    </w:p>
  </w:endnote>
  <w:endnote w:type="continuationSeparator" w:id="0">
    <w:p w14:paraId="1E24280A" w14:textId="77777777" w:rsidR="00862079" w:rsidRDefault="00862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F7CBE" w14:textId="7EE814DA" w:rsidR="009C4012" w:rsidRDefault="009C401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45CF2" w14:textId="77777777" w:rsidR="00862079" w:rsidRDefault="00862079">
      <w:r>
        <w:separator/>
      </w:r>
    </w:p>
  </w:footnote>
  <w:footnote w:type="continuationSeparator" w:id="0">
    <w:p w14:paraId="0F85F8D9" w14:textId="77777777" w:rsidR="00862079" w:rsidRDefault="00862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611C7"/>
    <w:multiLevelType w:val="hybridMultilevel"/>
    <w:tmpl w:val="4CE2C808"/>
    <w:lvl w:ilvl="0" w:tplc="578861BC">
      <w:start w:val="1"/>
      <w:numFmt w:val="upperRoman"/>
      <w:lvlText w:val="%1."/>
      <w:lvlJc w:val="left"/>
      <w:pPr>
        <w:ind w:left="528" w:hanging="428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en-US"/>
      </w:rPr>
    </w:lvl>
    <w:lvl w:ilvl="1" w:tplc="EB64222A">
      <w:numFmt w:val="bullet"/>
      <w:lvlText w:val="•"/>
      <w:lvlJc w:val="left"/>
      <w:pPr>
        <w:ind w:left="1348" w:hanging="428"/>
      </w:pPr>
      <w:rPr>
        <w:rFonts w:hint="default"/>
        <w:lang w:val="en-US" w:eastAsia="en-US" w:bidi="en-US"/>
      </w:rPr>
    </w:lvl>
    <w:lvl w:ilvl="2" w:tplc="F63E58E4">
      <w:numFmt w:val="bullet"/>
      <w:lvlText w:val="•"/>
      <w:lvlJc w:val="left"/>
      <w:pPr>
        <w:ind w:left="2177" w:hanging="428"/>
      </w:pPr>
      <w:rPr>
        <w:rFonts w:hint="default"/>
        <w:lang w:val="en-US" w:eastAsia="en-US" w:bidi="en-US"/>
      </w:rPr>
    </w:lvl>
    <w:lvl w:ilvl="3" w:tplc="B5F279DE">
      <w:numFmt w:val="bullet"/>
      <w:lvlText w:val="•"/>
      <w:lvlJc w:val="left"/>
      <w:pPr>
        <w:ind w:left="3005" w:hanging="428"/>
      </w:pPr>
      <w:rPr>
        <w:rFonts w:hint="default"/>
        <w:lang w:val="en-US" w:eastAsia="en-US" w:bidi="en-US"/>
      </w:rPr>
    </w:lvl>
    <w:lvl w:ilvl="4" w:tplc="960239F8">
      <w:numFmt w:val="bullet"/>
      <w:lvlText w:val="•"/>
      <w:lvlJc w:val="left"/>
      <w:pPr>
        <w:ind w:left="3834" w:hanging="428"/>
      </w:pPr>
      <w:rPr>
        <w:rFonts w:hint="default"/>
        <w:lang w:val="en-US" w:eastAsia="en-US" w:bidi="en-US"/>
      </w:rPr>
    </w:lvl>
    <w:lvl w:ilvl="5" w:tplc="58948576">
      <w:numFmt w:val="bullet"/>
      <w:lvlText w:val="•"/>
      <w:lvlJc w:val="left"/>
      <w:pPr>
        <w:ind w:left="4663" w:hanging="428"/>
      </w:pPr>
      <w:rPr>
        <w:rFonts w:hint="default"/>
        <w:lang w:val="en-US" w:eastAsia="en-US" w:bidi="en-US"/>
      </w:rPr>
    </w:lvl>
    <w:lvl w:ilvl="6" w:tplc="A68CCC26">
      <w:numFmt w:val="bullet"/>
      <w:lvlText w:val="•"/>
      <w:lvlJc w:val="left"/>
      <w:pPr>
        <w:ind w:left="5491" w:hanging="428"/>
      </w:pPr>
      <w:rPr>
        <w:rFonts w:hint="default"/>
        <w:lang w:val="en-US" w:eastAsia="en-US" w:bidi="en-US"/>
      </w:rPr>
    </w:lvl>
    <w:lvl w:ilvl="7" w:tplc="7994A61E">
      <w:numFmt w:val="bullet"/>
      <w:lvlText w:val="•"/>
      <w:lvlJc w:val="left"/>
      <w:pPr>
        <w:ind w:left="6320" w:hanging="428"/>
      </w:pPr>
      <w:rPr>
        <w:rFonts w:hint="default"/>
        <w:lang w:val="en-US" w:eastAsia="en-US" w:bidi="en-US"/>
      </w:rPr>
    </w:lvl>
    <w:lvl w:ilvl="8" w:tplc="4A9E1112">
      <w:numFmt w:val="bullet"/>
      <w:lvlText w:val="•"/>
      <w:lvlJc w:val="left"/>
      <w:pPr>
        <w:ind w:left="7149" w:hanging="428"/>
      </w:pPr>
      <w:rPr>
        <w:rFonts w:hint="default"/>
        <w:lang w:val="en-US" w:eastAsia="en-US" w:bidi="en-US"/>
      </w:rPr>
    </w:lvl>
  </w:abstractNum>
  <w:abstractNum w:abstractNumId="1" w15:restartNumberingAfterBreak="0">
    <w:nsid w:val="151F7D20"/>
    <w:multiLevelType w:val="hybridMultilevel"/>
    <w:tmpl w:val="0504BC7E"/>
    <w:lvl w:ilvl="0" w:tplc="A5AAD85E">
      <w:start w:val="1"/>
      <w:numFmt w:val="upperRoman"/>
      <w:lvlText w:val="%1."/>
      <w:lvlJc w:val="left"/>
      <w:pPr>
        <w:ind w:left="821" w:hanging="72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en-US"/>
      </w:rPr>
    </w:lvl>
    <w:lvl w:ilvl="1" w:tplc="2208E41A">
      <w:start w:val="1"/>
      <w:numFmt w:val="decimal"/>
      <w:lvlText w:val="%2."/>
      <w:lvlJc w:val="left"/>
      <w:pPr>
        <w:ind w:left="1234" w:hanging="567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2" w:tplc="510A6436">
      <w:numFmt w:val="bullet"/>
      <w:lvlText w:val="•"/>
      <w:lvlJc w:val="left"/>
      <w:pPr>
        <w:ind w:left="1240" w:hanging="567"/>
      </w:pPr>
      <w:rPr>
        <w:rFonts w:hint="default"/>
        <w:lang w:val="en-US" w:eastAsia="en-US" w:bidi="en-US"/>
      </w:rPr>
    </w:lvl>
    <w:lvl w:ilvl="3" w:tplc="E092CDFE">
      <w:numFmt w:val="bullet"/>
      <w:lvlText w:val="•"/>
      <w:lvlJc w:val="left"/>
      <w:pPr>
        <w:ind w:left="2185" w:hanging="567"/>
      </w:pPr>
      <w:rPr>
        <w:rFonts w:hint="default"/>
        <w:lang w:val="en-US" w:eastAsia="en-US" w:bidi="en-US"/>
      </w:rPr>
    </w:lvl>
    <w:lvl w:ilvl="4" w:tplc="17BABC48">
      <w:numFmt w:val="bullet"/>
      <w:lvlText w:val="•"/>
      <w:lvlJc w:val="left"/>
      <w:pPr>
        <w:ind w:left="3131" w:hanging="567"/>
      </w:pPr>
      <w:rPr>
        <w:rFonts w:hint="default"/>
        <w:lang w:val="en-US" w:eastAsia="en-US" w:bidi="en-US"/>
      </w:rPr>
    </w:lvl>
    <w:lvl w:ilvl="5" w:tplc="B630F2A2">
      <w:numFmt w:val="bullet"/>
      <w:lvlText w:val="•"/>
      <w:lvlJc w:val="left"/>
      <w:pPr>
        <w:ind w:left="4077" w:hanging="567"/>
      </w:pPr>
      <w:rPr>
        <w:rFonts w:hint="default"/>
        <w:lang w:val="en-US" w:eastAsia="en-US" w:bidi="en-US"/>
      </w:rPr>
    </w:lvl>
    <w:lvl w:ilvl="6" w:tplc="F7CC0428">
      <w:numFmt w:val="bullet"/>
      <w:lvlText w:val="•"/>
      <w:lvlJc w:val="left"/>
      <w:pPr>
        <w:ind w:left="5023" w:hanging="567"/>
      </w:pPr>
      <w:rPr>
        <w:rFonts w:hint="default"/>
        <w:lang w:val="en-US" w:eastAsia="en-US" w:bidi="en-US"/>
      </w:rPr>
    </w:lvl>
    <w:lvl w:ilvl="7" w:tplc="F60EFF2C">
      <w:numFmt w:val="bullet"/>
      <w:lvlText w:val="•"/>
      <w:lvlJc w:val="left"/>
      <w:pPr>
        <w:ind w:left="5969" w:hanging="567"/>
      </w:pPr>
      <w:rPr>
        <w:rFonts w:hint="default"/>
        <w:lang w:val="en-US" w:eastAsia="en-US" w:bidi="en-US"/>
      </w:rPr>
    </w:lvl>
    <w:lvl w:ilvl="8" w:tplc="DCDC9198">
      <w:numFmt w:val="bullet"/>
      <w:lvlText w:val="•"/>
      <w:lvlJc w:val="left"/>
      <w:pPr>
        <w:ind w:left="6914" w:hanging="567"/>
      </w:pPr>
      <w:rPr>
        <w:rFonts w:hint="default"/>
        <w:lang w:val="en-US" w:eastAsia="en-US" w:bidi="en-US"/>
      </w:rPr>
    </w:lvl>
  </w:abstractNum>
  <w:abstractNum w:abstractNumId="2" w15:restartNumberingAfterBreak="0">
    <w:nsid w:val="6CC76A3E"/>
    <w:multiLevelType w:val="hybridMultilevel"/>
    <w:tmpl w:val="548042E8"/>
    <w:lvl w:ilvl="0" w:tplc="0CBAA454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9BD49AD6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en-US"/>
      </w:rPr>
    </w:lvl>
    <w:lvl w:ilvl="2" w:tplc="71BA8256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en-US"/>
      </w:rPr>
    </w:lvl>
    <w:lvl w:ilvl="3" w:tplc="BFFEF4A2"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en-US"/>
      </w:rPr>
    </w:lvl>
    <w:lvl w:ilvl="4" w:tplc="81122A58"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en-US"/>
      </w:rPr>
    </w:lvl>
    <w:lvl w:ilvl="5" w:tplc="EF346848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en-US"/>
      </w:rPr>
    </w:lvl>
    <w:lvl w:ilvl="6" w:tplc="FF142610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en-US"/>
      </w:rPr>
    </w:lvl>
    <w:lvl w:ilvl="7" w:tplc="A7BC5FC4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en-US"/>
      </w:rPr>
    </w:lvl>
    <w:lvl w:ilvl="8" w:tplc="61E02440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012"/>
    <w:rsid w:val="00524792"/>
    <w:rsid w:val="00862079"/>
    <w:rsid w:val="009C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17F74"/>
  <w15:docId w15:val="{27BE0325-B465-4DEB-91F3-77DEC1FB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58"/>
      <w:ind w:left="821" w:hanging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8"/>
      <w:ind w:left="528" w:hanging="427"/>
    </w:pPr>
    <w:rPr>
      <w:b/>
      <w:b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53" w:hanging="56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247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792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247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792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1350</Words>
  <Characters>7700</Characters>
  <Application>Microsoft Office Word</Application>
  <DocSecurity>0</DocSecurity>
  <Lines>64</Lines>
  <Paragraphs>18</Paragraphs>
  <ScaleCrop>false</ScaleCrop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Lubelli, Luigi</dc:creator>
  <cp:lastModifiedBy>Agathsya Tech</cp:lastModifiedBy>
  <cp:revision>2</cp:revision>
  <dcterms:created xsi:type="dcterms:W3CDTF">2018-11-08T12:07:00Z</dcterms:created>
  <dcterms:modified xsi:type="dcterms:W3CDTF">2018-11-08T12:12:00Z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2017-09-07T00:00:00Z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2018-11-08T00:00:00Z</vt:filetime>
  </property>
</Properties>
</file>