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25A7" w14:textId="77777777" w:rsidR="00104D6B" w:rsidRPr="00104D6B" w:rsidRDefault="003154E2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Remote Access Tools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14:paraId="20C039D5" w14:textId="7BB605ED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for the Internet community. All or parts of this policy can be freely used for your organization. </w:t>
      </w:r>
    </w:p>
    <w:p w14:paraId="097762C5" w14:textId="110E5D8C" w:rsidR="00A16A40" w:rsidRDefault="00A16A40" w:rsidP="00A16A40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 xml:space="preserve">Please consult the Things to Consider FAQ for additional guidelines and suggestions for personalizing the </w:t>
      </w:r>
      <w:r>
        <w:rPr>
          <w:rFonts w:ascii="Arial" w:hAnsi="Arial" w:cs="Arial"/>
          <w:i/>
        </w:rPr>
        <w:t>policies</w:t>
      </w:r>
      <w:r w:rsidRPr="00C72E22">
        <w:rPr>
          <w:rFonts w:ascii="Arial" w:hAnsi="Arial" w:cs="Arial"/>
          <w:i/>
        </w:rPr>
        <w:t xml:space="preserve"> for your </w:t>
      </w:r>
      <w:r>
        <w:rPr>
          <w:rFonts w:ascii="Arial" w:hAnsi="Arial" w:cs="Arial"/>
          <w:i/>
        </w:rPr>
        <w:t>organization.</w:t>
      </w:r>
    </w:p>
    <w:p w14:paraId="6F489F36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010CD68" w14:textId="77777777" w:rsidR="003B6BD8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EC7A6F">
        <w:rPr>
          <w:rFonts w:ascii="Times New Roman" w:eastAsia="MS Mincho" w:hAnsi="Times New Roman" w:cs="Times New Roman"/>
          <w:sz w:val="24"/>
          <w:szCs w:val="24"/>
        </w:rPr>
        <w:t>Remote desktop software, also known as remote access tools, provide a w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ay for computer users and support staff alike to share screens, access work computer systems from home, and vice versa. Examples of such software include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LogMeIn, </w:t>
      </w:r>
      <w:r w:rsidRPr="00681F16">
        <w:rPr>
          <w:rFonts w:ascii="Times New Roman" w:eastAsia="MS Mincho" w:hAnsi="Times New Roman" w:cs="Times New Roman"/>
          <w:sz w:val="24"/>
          <w:szCs w:val="24"/>
        </w:rPr>
        <w:t>GoToMyPC, VNC (Virtual Network Computing), and Windows Remote Desktop (RDP).  While these tools can save significant time and money by eliminating travel and enabling collaboration, they also provide a back door into the &lt;Company Name&gt; network that can be used for theft of, unauthorized access to, or destruction of assets.  As a result, only approved, monitored, and properly controlled remote access tools may be used on &lt;Company Name&gt; computer systems.</w:t>
      </w:r>
    </w:p>
    <w:p w14:paraId="2FA4F31D" w14:textId="77777777" w:rsidR="00EC7A6F" w:rsidRPr="00EC7A6F" w:rsidRDefault="00EC7A6F" w:rsidP="00EC7A6F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660F5B5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62F7D67" w14:textId="77777777" w:rsidR="00EC7A6F" w:rsidRPr="00EC7A6F" w:rsidRDefault="00EC7A6F" w:rsidP="00EC7A6F">
      <w:r w:rsidRPr="00681F16">
        <w:rPr>
          <w:rFonts w:eastAsia="MS Mincho" w:cs="Times New Roman"/>
          <w:szCs w:val="24"/>
        </w:rPr>
        <w:t>This policy defines the requirements for remote access tools used at &lt;Company Name</w:t>
      </w:r>
    </w:p>
    <w:p w14:paraId="16EADB19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4AE3F92A" w14:textId="77777777" w:rsidR="00EC7A6F" w:rsidRPr="00EC7A6F" w:rsidRDefault="00EC7A6F" w:rsidP="00EC7A6F">
      <w:r w:rsidRPr="00681F16">
        <w:rPr>
          <w:rFonts w:eastAsia="MS Mincho" w:cs="Times New Roman"/>
          <w:szCs w:val="24"/>
        </w:rPr>
        <w:t>This policy applies to all remote access where either end of the communication terminates at a &lt;Company Name&gt; computer asset</w:t>
      </w:r>
    </w:p>
    <w:p w14:paraId="26DAAB1B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2DE30566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  <w:r w:rsidRPr="00681F16">
        <w:rPr>
          <w:rFonts w:ascii="Times New Roman" w:eastAsia="MS Mincho" w:hAnsi="Times New Roman" w:cs="Times New Roman"/>
          <w:bCs/>
          <w:sz w:val="24"/>
          <w:szCs w:val="24"/>
        </w:rPr>
        <w:t>All remote access tools used to communicate between &lt;Company Name&gt; assets and other systems must comply with the following policy requirements.</w:t>
      </w:r>
    </w:p>
    <w:p w14:paraId="7952E4AE" w14:textId="77777777" w:rsidR="00EC7A6F" w:rsidRPr="00681F16" w:rsidRDefault="00EC7A6F" w:rsidP="00EC7A6F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C1BE41D" w14:textId="77777777" w:rsidR="00EC7A6F" w:rsidRPr="00A16A40" w:rsidRDefault="00EC7A6F" w:rsidP="00EC7A6F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A16A40">
        <w:rPr>
          <w:rFonts w:ascii="Times New Roman" w:eastAsia="MS Mincho" w:hAnsi="Times New Roman" w:cs="Times New Roman"/>
          <w:sz w:val="24"/>
          <w:szCs w:val="24"/>
        </w:rPr>
        <w:t>4.1 Remote Access Tools</w:t>
      </w:r>
    </w:p>
    <w:p w14:paraId="550B24F2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&lt;Company Name&gt; provides mechanisms to collaborate between internal users, with external partners, and from non-&lt;Company Name&gt; systems.  The approved software list can be obtained from &lt;link-to-approved-remote-access-software-list&gt;.  Because proper configuration is important for secure use of these tools, mandatory configuration procedures are provided for each of the approved tools.</w:t>
      </w:r>
    </w:p>
    <w:p w14:paraId="27952DDC" w14:textId="77777777" w:rsidR="00EC7A6F" w:rsidRDefault="00EC7A6F" w:rsidP="00A16A40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10D1183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The approved software list may change at any time, but the following requirements will be used for selecting approved products:</w:t>
      </w:r>
    </w:p>
    <w:p w14:paraId="0D659819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All remote access tools or systems that allow communication to &lt;Company Name&gt; resources from the Internet or external partner systems must require multi-factor authentication.  Examples include authentication tokens and smart cards that require an additional PIN or password.</w:t>
      </w:r>
    </w:p>
    <w:p w14:paraId="0D88B1D4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The authentication database source must be Active Directory or LDAP, and the authentication protocol must involve a challenge-response protocol that is not susceptible </w:t>
      </w:r>
      <w:r w:rsidRPr="00681F16">
        <w:rPr>
          <w:rFonts w:ascii="Times New Roman" w:eastAsia="MS Mincho" w:hAnsi="Times New Roman" w:cs="Times New Roman"/>
          <w:sz w:val="24"/>
          <w:szCs w:val="24"/>
        </w:rPr>
        <w:lastRenderedPageBreak/>
        <w:t>to replay attacks.  The remote access tool must mutually authenticate both ends of the session.</w:t>
      </w:r>
    </w:p>
    <w:p w14:paraId="501AD513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Remote access tools must support the &lt;Company Name&gt; application layer proxy rather than direct connections through the perimeter firewall(s).</w:t>
      </w:r>
    </w:p>
    <w:p w14:paraId="306D298C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Remote access tools must support strong, end-to-end encryption of the remote access communication channels as specified in the &lt;Company Name&gt; network encryption protocols policy.</w:t>
      </w:r>
    </w:p>
    <w:p w14:paraId="66DFAC0F" w14:textId="77777777" w:rsidR="00EC7A6F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All &lt;Company Name&gt; antivirus, data loss prevention, and other security systems must not be disabled, interfered with, or circumvented in any way.</w:t>
      </w:r>
    </w:p>
    <w:p w14:paraId="2DD8B13D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D143950" w14:textId="77777777" w:rsidR="00EC7A6F" w:rsidRPr="00EC7A6F" w:rsidRDefault="00EC7A6F" w:rsidP="00A16A40">
      <w:r w:rsidRPr="00EC7A6F">
        <w:rPr>
          <w:rFonts w:eastAsia="MS Mincho" w:cs="Times New Roman"/>
          <w:szCs w:val="24"/>
        </w:rPr>
        <w:t>All remote access tools must be purchased through the standard &lt;Company Name&gt; procurement process, and the information technology group must approve the purchase.</w:t>
      </w:r>
    </w:p>
    <w:p w14:paraId="3BE7AF31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4238D1D4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8D6827E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7858D265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28C567F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A16A40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5CDEE588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6E18705E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  <w:bookmarkStart w:id="0" w:name="_GoBack"/>
      <w:bookmarkEnd w:id="0"/>
    </w:p>
    <w:p w14:paraId="3A9BAE73" w14:textId="77777777" w:rsidR="00836569" w:rsidRDefault="009C2FC8" w:rsidP="00836569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018045A0" w14:textId="77777777" w:rsidR="00E10369" w:rsidRPr="00E10369" w:rsidRDefault="00E10369" w:rsidP="00A16A40">
      <w:pPr>
        <w:ind w:left="360"/>
      </w:pPr>
      <w:r>
        <w:t>None.</w:t>
      </w:r>
    </w:p>
    <w:p w14:paraId="30FBC86B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7AB48B47" w14:textId="77777777" w:rsidR="00E10369" w:rsidRPr="00A16A40" w:rsidRDefault="002F3985" w:rsidP="00A16A40">
      <w:pPr>
        <w:pStyle w:val="ListParagraph"/>
        <w:numPr>
          <w:ilvl w:val="0"/>
          <w:numId w:val="14"/>
        </w:numPr>
        <w:rPr>
          <w:rFonts w:cs="Times New Roman"/>
        </w:rPr>
      </w:pPr>
      <w:r w:rsidRPr="00A16A40">
        <w:rPr>
          <w:rFonts w:eastAsia="MS Mincho" w:cs="Times New Roman"/>
          <w:bCs/>
        </w:rPr>
        <w:t>Application layer proxy</w:t>
      </w:r>
    </w:p>
    <w:p w14:paraId="7B50240A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2093FB2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C83A093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0B3F480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B7CF2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FD7ED0B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8166F57" w14:textId="21A0EE4D" w:rsidR="00FD3519" w:rsidRPr="00B96A66" w:rsidRDefault="00FD3519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FBA3F96" w14:textId="56C6BF2C" w:rsidR="00FD3519" w:rsidRPr="00B96A66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6726354E" w14:textId="6F276E7E" w:rsidR="00FD3519" w:rsidRPr="00B96A66" w:rsidRDefault="00FD3519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FD3519" w14:paraId="7A5C8C38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9AD9490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2942C8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0F3F722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B7C3B60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E69F" w14:textId="77777777" w:rsidR="00F77C2B" w:rsidRDefault="00F77C2B" w:rsidP="0066487F">
      <w:pPr>
        <w:spacing w:after="0" w:line="240" w:lineRule="auto"/>
      </w:pPr>
      <w:r>
        <w:separator/>
      </w:r>
    </w:p>
  </w:endnote>
  <w:endnote w:type="continuationSeparator" w:id="0">
    <w:p w14:paraId="4AD6E279" w14:textId="77777777" w:rsidR="00F77C2B" w:rsidRDefault="00F77C2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56015" w14:textId="6486833B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63F86" w:rsidRPr="00E63F8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6719F" w14:textId="77777777" w:rsidR="00F77C2B" w:rsidRDefault="00F77C2B" w:rsidP="0066487F">
      <w:pPr>
        <w:spacing w:after="0" w:line="240" w:lineRule="auto"/>
      </w:pPr>
      <w:r>
        <w:separator/>
      </w:r>
    </w:p>
  </w:footnote>
  <w:footnote w:type="continuationSeparator" w:id="0">
    <w:p w14:paraId="45967DD3" w14:textId="77777777" w:rsidR="00F77C2B" w:rsidRDefault="00F77C2B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DBF7" w14:textId="77777777" w:rsidR="0066487F" w:rsidRPr="0066487F" w:rsidRDefault="0066487F">
    <w:pPr>
      <w:pStyle w:val="Header"/>
      <w:rPr>
        <w:rFonts w:ascii="Verdana" w:hAnsi="Verdana"/>
        <w:szCs w:val="24"/>
      </w:rPr>
    </w:pPr>
  </w:p>
  <w:p w14:paraId="2ED24CA7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574311"/>
    <w:multiLevelType w:val="hybridMultilevel"/>
    <w:tmpl w:val="3656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D5637A"/>
    <w:multiLevelType w:val="hybridMultilevel"/>
    <w:tmpl w:val="35F681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D4839"/>
    <w:rsid w:val="002D5B0F"/>
    <w:rsid w:val="002F3985"/>
    <w:rsid w:val="003013B8"/>
    <w:rsid w:val="003154E2"/>
    <w:rsid w:val="0033192C"/>
    <w:rsid w:val="003B6BD8"/>
    <w:rsid w:val="003F462D"/>
    <w:rsid w:val="00411960"/>
    <w:rsid w:val="00445399"/>
    <w:rsid w:val="005F6E58"/>
    <w:rsid w:val="0062009C"/>
    <w:rsid w:val="00626D56"/>
    <w:rsid w:val="0066487F"/>
    <w:rsid w:val="006668BB"/>
    <w:rsid w:val="006E094A"/>
    <w:rsid w:val="007161FB"/>
    <w:rsid w:val="00717E04"/>
    <w:rsid w:val="00792C9B"/>
    <w:rsid w:val="007B3E20"/>
    <w:rsid w:val="0081559E"/>
    <w:rsid w:val="008228E7"/>
    <w:rsid w:val="00836569"/>
    <w:rsid w:val="00875E48"/>
    <w:rsid w:val="008B353D"/>
    <w:rsid w:val="008B54E3"/>
    <w:rsid w:val="008E3E91"/>
    <w:rsid w:val="009536CD"/>
    <w:rsid w:val="009C2FC8"/>
    <w:rsid w:val="00A047BB"/>
    <w:rsid w:val="00A16A40"/>
    <w:rsid w:val="00A84AF0"/>
    <w:rsid w:val="00AF32E9"/>
    <w:rsid w:val="00B340D2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D7341F"/>
    <w:rsid w:val="00DE586F"/>
    <w:rsid w:val="00E046B3"/>
    <w:rsid w:val="00E10369"/>
    <w:rsid w:val="00E1237C"/>
    <w:rsid w:val="00E63F86"/>
    <w:rsid w:val="00E72AF5"/>
    <w:rsid w:val="00EA2056"/>
    <w:rsid w:val="00EC7A6F"/>
    <w:rsid w:val="00F15156"/>
    <w:rsid w:val="00F77C2B"/>
    <w:rsid w:val="00F839E9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F2973"/>
  <w15:docId w15:val="{41140E69-159D-4987-8B0A-ED04054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40B2-1483-4033-9FB0-6B9D3064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8</cp:revision>
  <dcterms:created xsi:type="dcterms:W3CDTF">2013-12-30T05:01:00Z</dcterms:created>
  <dcterms:modified xsi:type="dcterms:W3CDTF">2018-10-15T08:27:00Z</dcterms:modified>
</cp:coreProperties>
</file>