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00000"/>
          <w:sz w:val="44"/>
        </w:rPr>
        <w:t>MONIRESH ACADEMIC DISCOVERY &amp; FREE APIS ARCHITECTURAL SOP</w:t>
      </w:r>
    </w:p>
    <w:p>
      <w:pPr>
        <w:spacing w:after="320"/>
      </w:pPr>
      <w:r>
        <w:rPr>
          <w:rFonts w:ascii="Arial" w:hAnsi="Arial"/>
          <w:b/>
          <w:color w:val="E6005C"/>
          <w:sz w:val="24"/>
        </w:rPr>
        <w:t>12-Tier Scholarly Search &amp; Open Access PDF Failover Hierarchy (SOP Version 1.0)</w:t>
        <w:br/>
        <w:t>APA 7th Edition Baseline • Pure Black Typography • Verified Legal APIs Only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0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RECOMMENDED ACADEMIC RESEARCH DISCOVERY STACK (SECTION 1)</w:t>
              <w:br/>
            </w:r>
            <w:r>
              <w:rPr>
                <w:b/>
              </w:rPr>
              <w:t xml:space="preserve">• General Web Search: </w:t>
            </w:r>
            <w:r>
              <w:t>Tavily Search API (tvly-dev-...) - 1,000 monthly credits</w:t>
              <w:br/>
            </w:r>
            <w:r>
              <w:rPr>
                <w:b/>
              </w:rPr>
              <w:t xml:space="preserve">• Alternative Semantic Search: </w:t>
            </w:r>
            <w:r>
              <w:t>Exa AI Search &amp; Contents API (35d70cfa-...) - AI-native semantic search</w:t>
              <w:br/>
            </w:r>
            <w:r>
              <w:rPr>
                <w:b/>
              </w:rPr>
              <w:t xml:space="preserve">• Google Scholar Primary: </w:t>
            </w:r>
            <w:r>
              <w:t>Serper Google Scholar API (b4ea8650...) - 2,500 monthly queries</w:t>
              <w:br/>
            </w:r>
            <w:r>
              <w:rPr>
                <w:b/>
              </w:rPr>
              <w:t xml:space="preserve">• Google Scholar Failover: </w:t>
            </w:r>
            <w:r>
              <w:t>SerpApi Google Scholar API (7b17a1af...) - 250 monthly queries</w:t>
              <w:br/>
            </w:r>
            <w:r>
              <w:rPr>
                <w:b/>
              </w:rPr>
              <w:t xml:space="preserve">• Open-Access Location: </w:t>
            </w:r>
            <w:r>
              <w:t>Unpaywall REST API (api.unpaywall.org/v2/:doi?email=team@moniresh.ai)</w:t>
              <w:br/>
            </w:r>
            <w:r>
              <w:rPr>
                <w:b/>
              </w:rPr>
              <w:t xml:space="preserve">• Scholarly Discovery: </w:t>
            </w:r>
            <w:r>
              <w:t>OpenAlex Premium API (VVzfQT3L...) - 250M+ open academic records</w:t>
              <w:br/>
            </w:r>
            <w:r>
              <w:rPr>
                <w:b/>
              </w:rPr>
              <w:t xml:space="preserve">• Citation &amp; Reference Graph: </w:t>
            </w:r>
            <w:r>
              <w:t>Semantic Scholar Bulk Graph API (/paper/search/bulk) - 214M+ scientific papers</w:t>
              <w:br/>
            </w:r>
            <w:r>
              <w:rPr>
                <w:b/>
              </w:rPr>
              <w:t xml:space="preserve">• DOI &amp; Citation Metadata: </w:t>
            </w:r>
            <w:r>
              <w:t>Crossref REST API Polite Pool (mailto=team@moniresh.ai) - 150M+ verified DOIs</w:t>
              <w:br/>
            </w:r>
            <w:r>
              <w:rPr>
                <w:b/>
              </w:rPr>
              <w:t xml:space="preserve">• Biomedical &amp; Life Science: </w:t>
            </w:r>
            <w:r>
              <w:t>NCBI PubMed &amp; PMC E-utilities API (950f9bd1...) - 36M+ articles, 10 req/s SLA</w:t>
              <w:br/>
            </w:r>
            <w:r>
              <w:rPr>
                <w:b/>
              </w:rPr>
              <w:t xml:space="preserve">• Ultimate Synthesis Anchor: </w:t>
            </w:r>
            <w:r>
              <w:t>Google Gemini 2.5 Pillar API (AQ.Ab8RN...) - Guaranteed research continuity</w:t>
              <w:br/>
            </w:r>
          </w:p>
        </w:tc>
      </w:tr>
    </w:tbl>
    <w:p/>
    <w:p>
      <w:pPr>
        <w:pStyle w:val="Heading1"/>
      </w:pPr>
      <w:r>
        <w:t>1. Academic Research Agent Routing Rules (SOP Section 7)</w:t>
      </w:r>
    </w:p>
    <w:p>
      <w:r>
        <w:t>MONIRESH assigns each research discovery task to an optimized primary API provider, backed by automatic failovers to guarantee 100% research continuity without scraping publisher paywalls illegally: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A0B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Research Domain</w:t>
            </w:r>
          </w:p>
        </w:tc>
        <w:tc>
          <w:tcPr>
            <w:tcW w:type="dxa" w:w="2160"/>
            <w:shd w:fill="1A0B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Primary API Provider</w:t>
            </w:r>
          </w:p>
        </w:tc>
        <w:tc>
          <w:tcPr>
            <w:tcW w:type="dxa" w:w="2304"/>
            <w:shd w:fill="1A0B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Automatic Failover Providers</w:t>
            </w:r>
          </w:p>
        </w:tc>
        <w:tc>
          <w:tcPr>
            <w:tcW w:type="dxa" w:w="2736"/>
            <w:shd w:fill="1A0B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SLA &amp; Operational Note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Current Web Information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Tavily Search API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Exa AI Search API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Real-time news, reports, organizational pages, and RAG grounding.</w:t>
            </w:r>
          </w:p>
        </w:tc>
      </w:tr>
      <w:tr>
        <w:tc>
          <w:tcPr>
            <w:tcW w:type="dxa" w:w="2160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Google Scholar Results</w:t>
            </w:r>
          </w:p>
        </w:tc>
        <w:tc>
          <w:tcPr>
            <w:tcW w:type="dxa" w:w="2160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Serper Google Scholar</w:t>
            </w:r>
          </w:p>
        </w:tc>
        <w:tc>
          <w:tcPr>
            <w:tcW w:type="dxa" w:w="230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SerpApi Google Scholar</w:t>
            </w:r>
          </w:p>
        </w:tc>
        <w:tc>
          <w:tcPr>
            <w:tcW w:type="dxa" w:w="273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2,500 credits primary (Serper); 250 credits failover (SerpApi).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Lawful Open-Access Lookup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Unpaywall REST API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Europe PMC -&gt; DOAJ -&gt; CORE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50M+ OA PDFs; checks best_oa_location.url_for_pdf and Creative Commons license.</w:t>
            </w:r>
          </w:p>
        </w:tc>
      </w:tr>
      <w:tr>
        <w:tc>
          <w:tcPr>
            <w:tcW w:type="dxa" w:w="2160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Broad Academic Discovery</w:t>
            </w:r>
          </w:p>
        </w:tc>
        <w:tc>
          <w:tcPr>
            <w:tcW w:type="dxa" w:w="2160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OpenAlex Premium API</w:t>
            </w:r>
          </w:p>
        </w:tc>
        <w:tc>
          <w:tcPr>
            <w:tcW w:type="dxa" w:w="230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Semantic Scholar Bulk API</w:t>
            </w:r>
          </w:p>
        </w:tc>
        <w:tc>
          <w:tcPr>
            <w:tcW w:type="dxa" w:w="273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250M+ open works with elevated SLA key (VVzfQT3L...).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Citation Reference Graph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Semantic Scholar Bulk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OpenAlex Premium API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214M+ papers; returns citationCount, authors, openAccessPdf.url.</w:t>
            </w:r>
          </w:p>
        </w:tc>
      </w:tr>
      <w:tr>
        <w:tc>
          <w:tcPr>
            <w:tcW w:type="dxa" w:w="2160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DOI &amp; Reference Verification</w:t>
            </w:r>
          </w:p>
        </w:tc>
        <w:tc>
          <w:tcPr>
            <w:tcW w:type="dxa" w:w="2160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Crossref REST API</w:t>
            </w:r>
          </w:p>
        </w:tc>
        <w:tc>
          <w:tcPr>
            <w:tcW w:type="dxa" w:w="230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DataCite REST API</w:t>
            </w:r>
          </w:p>
        </w:tc>
        <w:tc>
          <w:tcPr>
            <w:tcW w:type="dxa" w:w="273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150M+ DOIs; polite pool priority via mailto=team@moniresh.ai.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Biomedical Literature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NCBI PubMed E-utilities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Europe PMC REST API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36M+ articles; 10 req/s dedicated SLA key (950f9bd1...).</w:t>
            </w:r>
          </w:p>
        </w:tc>
      </w:tr>
      <w:tr>
        <w:tc>
          <w:tcPr>
            <w:tcW w:type="dxa" w:w="2160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Biomedical Open Full-Text</w:t>
            </w:r>
          </w:p>
        </w:tc>
        <w:tc>
          <w:tcPr>
            <w:tcW w:type="dxa" w:w="2160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Europe PMC REST API</w:t>
            </w:r>
          </w:p>
        </w:tc>
        <w:tc>
          <w:tcPr>
            <w:tcW w:type="dxa" w:w="230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PubMed Central (PMC)</w:t>
            </w:r>
          </w:p>
        </w:tc>
        <w:tc>
          <w:tcPr>
            <w:tcW w:type="dxa" w:w="273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Full-text XML/PDF retrieval for biomedical studies.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Preprints &amp; Working Papers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arXiv REST API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bioRxiv / SSRN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Computer science, physics, math, and quantitative preprints.</w:t>
            </w:r>
          </w:p>
        </w:tc>
      </w:tr>
      <w:tr>
        <w:tc>
          <w:tcPr>
            <w:tcW w:type="dxa" w:w="2160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Clinical Trials</w:t>
            </w:r>
          </w:p>
        </w:tc>
        <w:tc>
          <w:tcPr>
            <w:tcW w:type="dxa" w:w="2160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ClinicalTrials.gov v2</w:t>
            </w:r>
          </w:p>
        </w:tc>
        <w:tc>
          <w:tcPr>
            <w:tcW w:type="dxa" w:w="230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WHO ICTRP</w:t>
            </w:r>
          </w:p>
        </w:tc>
        <w:tc>
          <w:tcPr>
            <w:tcW w:type="dxa" w:w="273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Clinical trial protocols, sample sizes, and registry IDs.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Books &amp; Monographs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Open Library API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Google Books API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Scholarly books, ISBNs, and publication metadata.</w:t>
            </w:r>
          </w:p>
        </w:tc>
      </w:tr>
      <w:tr>
        <w:tc>
          <w:tcPr>
            <w:tcW w:type="dxa" w:w="2160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Development Statistics</w:t>
            </w:r>
          </w:p>
        </w:tc>
        <w:tc>
          <w:tcPr>
            <w:tcW w:type="dxa" w:w="2160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World Bank Data API</w:t>
            </w:r>
          </w:p>
        </w:tc>
        <w:tc>
          <w:tcPr>
            <w:tcW w:type="dxa" w:w="230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OECD Stat / WHO GHO</w:t>
            </w:r>
          </w:p>
        </w:tc>
        <w:tc>
          <w:tcPr>
            <w:tcW w:type="dxa" w:w="273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Macroeconomic, education, and health statistical indicators.</w:t>
            </w:r>
          </w:p>
        </w:tc>
      </w:tr>
    </w:tbl>
    <w:p/>
    <w:p>
      <w:pPr>
        <w:pStyle w:val="Heading1"/>
      </w:pPr>
      <w:r>
        <w:t>2. Unpaywall Lawful Open-Access Retrieval (SOP Section 4.4)</w:t>
      </w:r>
    </w:p>
    <w:p>
      <w:r>
        <w:t>MONIRESH uses the official Unpaywall REST API (api.unpaywall.org/v2/:doi?email=team@moniresh.ai) as the primary engine for locating legal open-access full-text PDFs. When a DOI is queried, Unpaywall checks over 50,000 academic repositories and publishers to verify:</w:t>
      </w:r>
    </w:p>
    <w:p>
      <w:r>
        <w:rPr>
          <w:b/>
        </w:rPr>
        <w:t xml:space="preserve">• 1. Open-Access Status (is_oa): </w:t>
      </w:r>
      <w:r>
        <w:t>True if a legal free full-text copy exists; false otherwise.</w:t>
      </w:r>
    </w:p>
    <w:p>
      <w:r>
        <w:rPr>
          <w:b/>
        </w:rPr>
        <w:t xml:space="preserve">• 2. OA Category (oa_status): </w:t>
      </w:r>
      <w:r>
        <w:t>Gold (OA journal), Green (repository copy), Hybrid (OA in subscription journal), Bronze.</w:t>
      </w:r>
    </w:p>
    <w:p>
      <w:r>
        <w:rPr>
          <w:b/>
        </w:rPr>
        <w:t xml:space="preserve">• 3. Best PDF URL (best_oa_location.url_for_pdf): </w:t>
      </w:r>
      <w:r>
        <w:t>Direct link to the downloadable PDF file for matrix extraction.</w:t>
      </w:r>
    </w:p>
    <w:p>
      <w:r>
        <w:rPr>
          <w:b/>
        </w:rPr>
        <w:t xml:space="preserve">• 4. Creative Commons License (license): </w:t>
      </w:r>
      <w:r>
        <w:t>CC BY, CC BY-NC-ND, etc., verifying lawful text-mining rights.</w:t>
      </w:r>
    </w:p>
    <w:p>
      <w:r>
        <w:rPr>
          <w:b/>
        </w:rPr>
        <w:t xml:space="preserve">• 5. Repository Copy Verification (has_repository_copy): </w:t>
      </w:r>
      <w:r>
        <w:t>True if archived in an institutional or subject repository (DOAJ / DOAB).</w:t>
      </w:r>
    </w:p>
    <w:p>
      <w:pPr>
        <w:pStyle w:val="Heading1"/>
      </w:pPr>
      <w:r>
        <w:t>3. Reliability Requirements &amp; API Environment (SOP Section 8 &amp; 9)</w:t>
      </w:r>
    </w:p>
    <w:p>
      <w:r>
        <w:t>An academic research agent must operate with 100% reliability and traceability. MONIRESH enforces three architectural reliability requirements:</w:t>
      </w:r>
    </w:p>
    <w:p>
      <w:r>
        <w:rPr>
          <w:b/>
        </w:rPr>
        <w:t xml:space="preserve">• 1. Graceful API Degradation: </w:t>
      </w:r>
      <w:r>
        <w:t>If a primary API returns HTTP 429 (rate limit), 401, or 500, the search gateway automatically falls over to the designated alternative within 250ms.</w:t>
      </w:r>
    </w:p>
    <w:p>
      <w:r>
        <w:rPr>
          <w:b/>
        </w:rPr>
        <w:t xml:space="preserve">• 2. APA 7th Edition Citation Verification: </w:t>
      </w:r>
      <w:r>
        <w:t>No reference is ever generated from LLM memory alone. Every reference list item is validated against Crossref DOI metadata.</w:t>
      </w:r>
    </w:p>
    <w:p>
      <w:r>
        <w:rPr>
          <w:b/>
        </w:rPr>
        <w:t xml:space="preserve">• 3. Zero Scraping of Unlawful Sources: </w:t>
      </w:r>
      <w:r>
        <w:t>The platform strictly forbids scraping paywalled publisher sites or violating Terms of Service.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