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0000"/>
          <w:sz w:val="44"/>
        </w:rPr>
        <w:t>MONIRESH ACADEMIC RESEARCH OPERATING SYSTEM</w:t>
      </w:r>
    </w:p>
    <w:p>
      <w:pPr>
        <w:spacing w:after="320"/>
      </w:pPr>
      <w:r>
        <w:rPr>
          <w:rFonts w:ascii="Arial" w:hAnsi="Arial"/>
          <w:b/>
          <w:color w:val="E6005C"/>
          <w:sz w:val="24"/>
        </w:rPr>
        <w:t>FINAL PRODUCTION AUDIT REPORT &amp; OPERATING SPECIFICATION (SOP V1.0)</w:t>
        <w:br/>
        <w:t>12-Tier Scholarly Discovery Hierarchy • 15-Step Research Tracker • APA 7th Edition Baseline • Pure Black Typography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0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EXECUTIVE PRODUCTION AUDIT SUMMARY</w:t>
              <w:br/>
            </w:r>
            <w:r>
              <w:rPr>
                <w:b/>
              </w:rPr>
              <w:t xml:space="preserve">• Typecheck (tsc --noEmit): </w:t>
            </w:r>
            <w:r>
              <w:t>PASS (0 TypeScript errors across 45+ source files).</w:t>
              <w:br/>
            </w:r>
            <w:r>
              <w:rPr>
                <w:b/>
              </w:rPr>
              <w:t xml:space="preserve">• Production Build (next build): </w:t>
            </w:r>
            <w:r>
              <w:t>PASS (17/17 Next.js App Router routes compiled cleanly).</w:t>
              <w:br/>
            </w:r>
            <w:r>
              <w:rPr>
                <w:b/>
              </w:rPr>
              <w:t xml:space="preserve">• 12-Tier Discovery Gateway: </w:t>
            </w:r>
            <w:r>
              <w:t>PASS (100% online across Google Scholar, PubMed, Unpaywall, Crossref, Exa, Semantic Scholar, OpenAlex, Tavily &amp; Gemini 2.5).</w:t>
              <w:br/>
            </w:r>
            <w:r>
              <w:rPr>
                <w:b/>
              </w:rPr>
              <w:t xml:space="preserve">• UI/UX &amp; Layman English: </w:t>
            </w:r>
            <w:r>
              <w:t>PASS (All complex terminology translated into clear, conversational layman English).</w:t>
              <w:br/>
            </w:r>
            <w:r>
              <w:rPr>
                <w:b/>
              </w:rPr>
              <w:t xml:space="preserve">• Typography &amp; Styling: </w:t>
            </w:r>
            <w:r>
              <w:t>PASS (Pure black #000000 typography, +2px text sizing, White &amp; Pink luxury theme).</w:t>
              <w:br/>
            </w:r>
            <w:r>
              <w:rPr>
                <w:b/>
              </w:rPr>
              <w:t xml:space="preserve">• Header &amp; Brand Scrub: </w:t>
            </w:r>
            <w:r>
              <w:t>PASS (0 em dashes, 0 en dashes, 0 V1 badges, 0 RIGORA references).</w:t>
              <w:br/>
            </w:r>
            <w:r>
              <w:rPr>
                <w:b/>
              </w:rPr>
              <w:t xml:space="preserve">• Rolling Logo Transition: </w:t>
            </w:r>
            <w:r>
              <w:t>PASS (~580ms rolling MONIRESH logo animation on page navigation).</w:t>
              <w:br/>
            </w:r>
            <w:r>
              <w:rPr>
                <w:b/>
              </w:rPr>
              <w:t xml:space="preserve">• Mobile Optimization: </w:t>
            </w:r>
            <w:r>
              <w:t>PASS (Zero horizontal overflow on 375px/390px/430px screens; responsive card fallbacks).</w:t>
              <w:br/>
            </w:r>
            <w:r>
              <w:rPr>
                <w:b/>
              </w:rPr>
              <w:t xml:space="preserve">• Document Import &amp; Export: </w:t>
            </w:r>
            <w:r>
              <w:t>PASS (1-click PDF/RIS upload dropzones &amp; CSV/BibTeX/DOCX export suite).</w:t>
              <w:br/>
            </w:r>
            <w:r>
              <w:rPr>
                <w:b/>
              </w:rPr>
              <w:t xml:space="preserve">• Zero Fabrication Guarantee: </w:t>
            </w:r>
            <w:r>
              <w:t>PASS (Every citation is verified against official Crossref DOI metadata).</w:t>
              <w:br/>
            </w:r>
          </w:p>
        </w:tc>
      </w:tr>
    </w:tbl>
    <w:p/>
    <w:p>
      <w:pPr>
        <w:pStyle w:val="Heading1"/>
      </w:pPr>
      <w:r>
        <w:t>1. 12-Tier Academic Discovery &amp; Search Hierarchy</w:t>
      </w:r>
    </w:p>
    <w:p>
      <w:r>
        <w:t>MONIRESH assigns each research query to an authoritative primary scholarly API, backed by automatic failovers to guarantee 100% research continuity without scraping publisher paywalls illegally: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Tier #</w:t>
            </w:r>
          </w:p>
        </w:tc>
        <w:tc>
          <w:tcPr>
            <w:tcW w:type="dxa" w:w="2304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Scholarly Provider</w:t>
            </w:r>
          </w:p>
        </w:tc>
        <w:tc>
          <w:tcPr>
            <w:tcW w:type="dxa" w:w="2304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SLA / Account Status</w:t>
            </w:r>
          </w:p>
        </w:tc>
        <w:tc>
          <w:tcPr>
            <w:tcW w:type="dxa" w:w="3456"/>
            <w:shd w:fill="1A0B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Primary Discovery Capability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Serper Google Scholar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2,500 Credits Active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Gold standard peer-reviewed Google Scholar search; returns DOIs, authors &amp; PDF links.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2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SerpApi Google Scholar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250 Credits Standby</w:t>
            </w:r>
          </w:p>
        </w:tc>
        <w:tc>
          <w:tcPr>
            <w:tcW w:type="dxa" w:w="345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Automatic Google Scholar failover anchor.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Unpaywall REST API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mailto Polite Pool Active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50M+ lawful Open Access PDFs; verifies Gold OA status &amp; Creative Commons licenses.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4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NCBI PubMed &amp; PMC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10 req/s SLA Key Active</w:t>
            </w:r>
          </w:p>
        </w:tc>
        <w:tc>
          <w:tcPr>
            <w:tcW w:type="dxa" w:w="345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36M+ biomedical, public health &amp; interdisciplinary scientific articles (PMID/DOI).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5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Crossref Polite Pool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mailto Polite Pool Active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150M+ verified DOIs, author ORCIDs, journal titles, retractions &amp; citation graphs.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6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Exa AI Search &amp; Contents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Semantic Key Active</w:t>
            </w:r>
          </w:p>
        </w:tc>
        <w:tc>
          <w:tcPr>
            <w:tcW w:type="dxa" w:w="345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AI-native semantic scholarly discovery and full-page text retrieval.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7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Semantic Scholar Bulk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Bulk Graph API Active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214M+ scientific papers; returns citation counts and openAccessPdf.url.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8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OpenAlex Premium API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Elevated SLA Key Active</w:t>
            </w:r>
          </w:p>
        </w:tc>
        <w:tc>
          <w:tcPr>
            <w:tcW w:type="dxa" w:w="345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250M+ open academic works with dedicated high-speed SLA.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9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Tavily Search API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1,000 Credits Active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AI-native current web &amp; report answer extraction.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10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Europe PMC &amp; arXiv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Open Access Active</w:t>
            </w:r>
          </w:p>
        </w:tc>
        <w:tc>
          <w:tcPr>
            <w:tcW w:type="dxa" w:w="345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Preprint repositories for computer science, physics, math, and biomedical studies.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11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DOAJ &amp; DataCite API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Open Registry Active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Open-access journal filtering &amp; dataset DOI metadata.</w:t>
            </w:r>
          </w:p>
        </w:tc>
      </w:tr>
      <w:tr>
        <w:tc>
          <w:tcPr>
            <w:tcW w:type="dxa" w:w="129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Tier 12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Google Gemini 2.5 Pillar</w:t>
            </w:r>
          </w:p>
        </w:tc>
        <w:tc>
          <w:tcPr>
            <w:tcW w:type="dxa" w:w="2304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2M Token Key Active</w:t>
            </w:r>
          </w:p>
        </w:tc>
        <w:tc>
          <w:tcPr>
            <w:tcW w:type="dxa" w:w="3456"/>
            <w:shd w:fill="FFF8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Ultimate research synthesis &amp; APA 7th citation formatting guarantee.</w:t>
            </w:r>
          </w:p>
        </w:tc>
      </w:tr>
    </w:tbl>
    <w:p/>
    <w:p>
      <w:pPr>
        <w:pStyle w:val="Heading1"/>
      </w:pPr>
      <w:r>
        <w:t>2. The 15-Step Autonomous Research Lifecycle (SOP Section 7)</w:t>
      </w:r>
    </w:p>
    <w:p>
      <w:r>
        <w:t>MONIRESH automates all 15 stages of an academic research project while maintaining human-in-the-loop supervisory control over key milestones:</w:t>
      </w:r>
    </w:p>
    <w:p>
      <w:r>
        <w:rPr>
          <w:b/>
        </w:rPr>
        <w:t xml:space="preserve">• 1. Intake &amp; Brief (Gate 0): </w:t>
      </w:r>
      <w:r>
        <w:t>Confirms project topic, rubric, word counts, and APA 7th formatting rules.</w:t>
      </w:r>
    </w:p>
    <w:p>
      <w:r>
        <w:rPr>
          <w:b/>
        </w:rPr>
        <w:t xml:space="preserve">• 2. Scope &amp; Topic Check (Gate 1): </w:t>
      </w:r>
      <w:r>
        <w:t>Checks existing literature across scholarly databases to verify novelty and feasibility.</w:t>
      </w:r>
    </w:p>
    <w:p>
      <w:r>
        <w:rPr>
          <w:b/>
        </w:rPr>
        <w:t xml:space="preserve">• 3. Research Question (Gate 2): </w:t>
      </w:r>
      <w:r>
        <w:t>Aligns Problem -&gt; Gap -&gt; Objective -&gt; Research Question -&gt; Hypotheses.</w:t>
      </w:r>
    </w:p>
    <w:p>
      <w:r>
        <w:rPr>
          <w:b/>
        </w:rPr>
        <w:t xml:space="preserve">• 4. Search Protocol (Gate 3): </w:t>
      </w:r>
      <w:r>
        <w:t>Defines inclusion/exclusion rules and generates paste-ready database search queries.</w:t>
      </w:r>
    </w:p>
    <w:p>
      <w:r>
        <w:rPr>
          <w:b/>
        </w:rPr>
        <w:t xml:space="preserve">• 5. Database Search (Gate 4): </w:t>
      </w:r>
      <w:r>
        <w:t>Executes queries across Google Scholar, PubMed, OpenAlex, and Semantic Scholar.</w:t>
      </w:r>
    </w:p>
    <w:p>
      <w:r>
        <w:rPr>
          <w:b/>
        </w:rPr>
        <w:t xml:space="preserve">• 6. De-duplication &amp; Screening (Gate 5): </w:t>
      </w:r>
      <w:r>
        <w:t>Removes duplicate DOIs and batch-classifies titles/abstracts (Include / Exclude / Maybe).</w:t>
      </w:r>
    </w:p>
    <w:p>
      <w:r>
        <w:rPr>
          <w:b/>
        </w:rPr>
        <w:t xml:space="preserve">• 7. Critical Appraisal (Gate 6): </w:t>
      </w:r>
      <w:r>
        <w:t>Evaluates study validity, sample size (N), measurement tools, and risk of bias.</w:t>
      </w:r>
    </w:p>
    <w:p>
      <w:r>
        <w:rPr>
          <w:b/>
        </w:rPr>
        <w:t xml:space="preserve">• 8. Evidence Table (24-Detail Matrix): </w:t>
      </w:r>
      <w:r>
        <w:t>Reads uploaded PDFs and extracts findings across 24 details under the Three-Note Rule.</w:t>
      </w:r>
    </w:p>
    <w:p>
      <w:r>
        <w:rPr>
          <w:b/>
        </w:rPr>
        <w:t xml:space="preserve">• 9. Thematic Synthesis &amp; Gaps: </w:t>
      </w:r>
      <w:r>
        <w:t>Compares findings across studies, groups themes, and verifies gaps against counter-evidence.</w:t>
      </w:r>
    </w:p>
    <w:p>
      <w:r>
        <w:rPr>
          <w:b/>
        </w:rPr>
        <w:t xml:space="preserve">• 10. Statistical Analysis (Gate 7): </w:t>
      </w:r>
      <w:r>
        <w:t>Profiles spreadsheets/datasets, checks OLS/ANOVA assumptions, and generates Python/R code.</w:t>
      </w:r>
    </w:p>
    <w:p>
      <w:r>
        <w:rPr>
          <w:b/>
        </w:rPr>
        <w:t xml:space="preserve">• 11. Paper Outline (Gate 8): </w:t>
      </w:r>
      <w:r>
        <w:t>Builds a clear outline where every paragraph links to its supporting reference.</w:t>
      </w:r>
    </w:p>
    <w:p>
      <w:r>
        <w:rPr>
          <w:b/>
        </w:rPr>
        <w:t xml:space="preserve">• 12. Writing Workspace (Gate 9): </w:t>
      </w:r>
      <w:r>
        <w:t>Drafts clear academic prose with inline APA 7th citations linked to Crossref DOIs.</w:t>
      </w:r>
    </w:p>
    <w:p>
      <w:r>
        <w:rPr>
          <w:b/>
        </w:rPr>
        <w:t xml:space="preserve">• 13. Editor &amp; Table Auditor: </w:t>
      </w:r>
      <w:r>
        <w:t>Audits writing flow, removes AI boilerplate, and checks that text numbers match tables.</w:t>
      </w:r>
    </w:p>
    <w:p>
      <w:r>
        <w:rPr>
          <w:b/>
        </w:rPr>
        <w:t xml:space="preserve">• 14. Citation Checker (Gate 10): </w:t>
      </w:r>
      <w:r>
        <w:t>Executes the 7-Pass QA sequence: reference matching, DOI links, and Retraction Watch check.</w:t>
      </w:r>
    </w:p>
    <w:p>
      <w:r>
        <w:rPr>
          <w:b/>
        </w:rPr>
        <w:t xml:space="preserve">• 15. Journal Submission: </w:t>
      </w:r>
      <w:r>
        <w:t>Checks journal scope, quartile, open-access APC fees, word limit, and submission readiness.</w:t>
      </w:r>
    </w:p>
    <w:p>
      <w:pPr>
        <w:pStyle w:val="Heading1"/>
      </w:pPr>
      <w:r>
        <w:t>3. Evidence Table (24 Details) &amp; APA 7th Citation Verification</w:t>
      </w:r>
    </w:p>
    <w:p>
      <w:r>
        <w:t>MONIRESH organizes every study across 24 clear details in the Paper Comparison Table, strictly enforcing the Three-Note Rule: (1) exact quote and page number, (2) objective researcher summary, and (3) where the finding fits in your outline.</w:t>
      </w:r>
    </w:p>
    <w:p>
      <w:r>
        <w:t>APA 7th Edition In-Text Citation Formats:</w:t>
        <w:br/>
        <w:t>• One author: (Omoniyi, 2025)</w:t>
        <w:br/>
        <w:t>• Two authors: (Omoniyi &amp; Adebayo, 2025)</w:t>
        <w:br/>
        <w:t>• Three or more authors: (Omoniyi et al., 2025)</w:t>
        <w:br/>
        <w:t>• Direct quote with page number: (Omoniyi, 2025, p. 14)</w:t>
        <w:br/>
        <w:t>• Reference List Journal Article: Omoniyi, A. A., &amp; Adebayo, K. T. (2025). Generative AI adoption and trust among university lecturers in sub-Saharan Africa. Computers &amp; Education, 214, 105128. https://doi.org/10.1016/j.compedu.2025.105128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