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AARISE HEALTHCARE</w:t>
      </w:r>
    </w:p>
    <w:p>
      <w:pPr>
        <w:spacing w:after="40"/>
        <w:jc w:val="center"/>
      </w:pPr>
      <w:r>
        <w:rPr>
          <w:sz w:val="26"/>
          <w:szCs w:val="26"/>
        </w:rPr>
        <w:t xml:space="preserve">Monthly SEO Performance Report</w:t>
      </w:r>
    </w:p>
    <w:p>
      <w:pPr>
        <w:spacing w:after="40"/>
        <w:jc w:val="center"/>
      </w:pPr>
      <w:r>
        <w:rPr>
          <w:b/>
          <w:bCs/>
          <w:sz w:val="24"/>
          <w:szCs w:val="24"/>
        </w:rPr>
        <w:t xml:space="preserve">June 20 – July 23, 2026</w:t>
      </w:r>
    </w:p>
    <w:p>
      <w:pPr>
        <w:pBdr>
          <w:bottom w:val="single" w:color="1F3864" w:sz="6" w:space="8"/>
        </w:pBdr>
        <w:spacing w:after="200"/>
        <w:jc w:val="center"/>
      </w:pPr>
      <w:r>
        <w:rPr>
          <w:color w:val="2E5C8A"/>
          <w:sz w:val="22"/>
          <w:szCs w:val="22"/>
        </w:rPr>
        <w:t xml:space="preserve">aarisehealthcare.com</w:t>
      </w:r>
    </w:p>
    <w:p>
      <w:pPr>
        <w:spacing w:after="40"/>
      </w:pPr>
      <w:r>
        <w:rPr>
          <w:sz w:val="21"/>
          <w:szCs w:val="21"/>
        </w:rPr>
        <w:t xml:space="preserve">Prepared by: SEO Team</w:t>
      </w:r>
    </w:p>
    <w:p>
      <w:pPr>
        <w:spacing w:after="40"/>
      </w:pPr>
      <w:r>
        <w:rPr>
          <w:sz w:val="21"/>
          <w:szCs w:val="21"/>
        </w:rPr>
        <w:t xml:space="preserve">Report Date: July 23, 2026</w:t>
      </w:r>
    </w:p>
    <w:p>
      <w:pPr>
        <w:spacing w:after="40"/>
      </w:pPr>
      <w:r>
        <w:rPr>
          <w:sz w:val="21"/>
          <w:szCs w:val="21"/>
        </w:rPr>
        <w:t xml:space="preserve">Reporting Period: June 20 – July 23, 2026</w:t>
      </w:r>
    </w:p>
    <w:p>
      <w:pPr>
        <w:spacing w:after="40"/>
      </w:pPr>
      <w:r>
        <w:rPr>
          <w:sz w:val="21"/>
          <w:szCs w:val="21"/>
        </w:rPr>
        <w:t xml:space="preserve">Compared To: May 20 – June 20, 2026</w:t>
      </w:r>
    </w:p>
    <w:p>
      <w:pPr>
        <w:pStyle w:val="Heading1"/>
        <w:spacing w:after="140" w:before="320"/>
      </w:pPr>
      <w:r>
        <w:rPr>
          <w:b/>
          <w:bCs/>
          <w:color w:val="1F3864"/>
          <w:sz w:val="26"/>
          <w:szCs w:val="26"/>
        </w:rPr>
        <w:t xml:space="preserve">Executive Summary</w:t>
      </w:r>
    </w:p>
    <w:p>
      <w:pPr>
        <w:spacing w:after="120" w:before="120"/>
      </w:pPr>
      <w:r>
        <w:rPr>
          <w:sz w:val="21"/>
          <w:szCs w:val="21"/>
        </w:rPr>
        <w:t xml:space="preserve">This report covers search performance and analytics for aarisehealthcare.com from June 20 to July 23, 2026, compared with the previous period (May 20 – June 20, 2026). Search Console recorded 20 clicks and 1,500 impressions, up from 13 clicks and 1,043 impressions — growth of +54% in clicks and +44% in impressions.</w:t>
      </w:r>
    </w:p>
    <w:p>
      <w:pPr>
        <w:spacing w:after="120" w:before="120"/>
      </w:pPr>
      <w:r>
        <w:rPr>
          <w:sz w:val="21"/>
          <w:szCs w:val="21"/>
        </w:rPr>
        <w:t xml:space="preserve">The most significant result this month is position: average position improved from 44.0 to 30.4, a gain of 13.6 places and the largest month-on-month movement since launch. This follows the technical remediation completed during the period — duplicate pages noindexed, meta descriptions added across posts and products, FAQ schema deployed and the four country supplier pages rewritten.</w:t>
      </w:r>
    </w:p>
    <w:p>
      <w:pPr>
        <w:spacing w:after="120" w:before="120"/>
      </w:pPr>
      <w:r>
        <w:rPr>
          <w:sz w:val="21"/>
          <w:szCs w:val="21"/>
        </w:rPr>
        <w:t xml:space="preserve">Google Analytics reports 232 active users, 216 new users and an average engagement time of 137.6 seconds — roughly eight times the equivalent figure on aarisepharma.com. Thirteen checkout page views from 232 users represents a 5.6% checkout rate. The constraint on this site is discovery, not engagement: 142 of the 163 ranking queries still sit on Page 4 or beyond.</w:t>
      </w:r>
    </w:p>
    <w:p>
      <w:pPr>
        <w:pStyle w:val="Heading1"/>
        <w:spacing w:after="140" w:before="320"/>
      </w:pPr>
      <w:r>
        <w:rPr>
          <w:b/>
          <w:bCs/>
          <w:color w:val="1F3864"/>
          <w:sz w:val="26"/>
          <w:szCs w:val="26"/>
        </w:rPr>
        <w:t xml:space="preserve">Search Console — This Month's Performance</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2706"/>
        <w:gridCol w:w="2165"/>
        <w:gridCol w:w="2165"/>
        <w:gridCol w:w="1984"/>
      </w:tblGrid>
      <w:tr>
        <w:trPr>
          <w:tblHeader/>
        </w:trPr>
        <w:tc>
          <w:tcPr>
            <w:tcW w:type="dxa" w:w="2706"/>
            <w:shd w:fill="E8EEF4" w:color="auto" w:val="clear"/>
            <w:tcMar>
              <w:top w:type="dxa" w:w="60"/>
              <w:left w:type="dxa" w:w="100"/>
              <w:bottom w:type="dxa" w:w="60"/>
              <w:right w:type="dxa" w:w="100"/>
            </w:tcMar>
          </w:tcPr>
          <w:p>
            <w:pPr>
              <w:spacing w:after="0" w:before="0"/>
              <w:jc w:val="left"/>
            </w:pPr>
            <w:r>
              <w:rPr>
                <w:b/>
                <w:bCs/>
                <w:sz w:val="19"/>
                <w:szCs w:val="19"/>
              </w:rPr>
              <w:t xml:space="preserve">Metric</w:t>
            </w:r>
          </w:p>
        </w:tc>
        <w:tc>
          <w:tcPr>
            <w:tcW w:type="dxa" w:w="2165"/>
            <w:shd w:fill="E8EEF4" w:color="auto" w:val="clear"/>
            <w:tcMar>
              <w:top w:type="dxa" w:w="60"/>
              <w:left w:type="dxa" w:w="100"/>
              <w:bottom w:type="dxa" w:w="60"/>
              <w:right w:type="dxa" w:w="100"/>
            </w:tcMar>
          </w:tcPr>
          <w:p>
            <w:pPr>
              <w:spacing w:after="0" w:before="0"/>
              <w:jc w:val="right"/>
            </w:pPr>
            <w:r>
              <w:rPr>
                <w:b/>
                <w:bCs/>
                <w:sz w:val="19"/>
                <w:szCs w:val="19"/>
              </w:rPr>
              <w:t xml:space="preserve">This Period</w:t>
            </w:r>
          </w:p>
        </w:tc>
        <w:tc>
          <w:tcPr>
            <w:tcW w:type="dxa" w:w="2165"/>
            <w:shd w:fill="E8EEF4" w:color="auto" w:val="clear"/>
            <w:tcMar>
              <w:top w:type="dxa" w:w="60"/>
              <w:left w:type="dxa" w:w="100"/>
              <w:bottom w:type="dxa" w:w="60"/>
              <w:right w:type="dxa" w:w="100"/>
            </w:tcMar>
          </w:tcPr>
          <w:p>
            <w:pPr>
              <w:spacing w:after="0" w:before="0"/>
              <w:jc w:val="right"/>
            </w:pPr>
            <w:r>
              <w:rPr>
                <w:b/>
                <w:bCs/>
                <w:sz w:val="19"/>
                <w:szCs w:val="19"/>
              </w:rPr>
              <w:t xml:space="preserve">Previous Period</w:t>
            </w:r>
          </w:p>
        </w:tc>
        <w:tc>
          <w:tcPr>
            <w:tcW w:type="dxa" w:w="1984"/>
            <w:shd w:fill="E8EEF4" w:color="auto" w:val="clear"/>
            <w:tcMar>
              <w:top w:type="dxa" w:w="60"/>
              <w:left w:type="dxa" w:w="100"/>
              <w:bottom w:type="dxa" w:w="60"/>
              <w:right w:type="dxa" w:w="100"/>
            </w:tcMar>
          </w:tcPr>
          <w:p>
            <w:pPr>
              <w:spacing w:after="0" w:before="0"/>
              <w:jc w:val="right"/>
            </w:pPr>
            <w:r>
              <w:rPr>
                <w:b/>
                <w:bCs/>
                <w:sz w:val="19"/>
                <w:szCs w:val="19"/>
              </w:rPr>
              <w:t xml:space="preserve">Change</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Clicks</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20</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13</w:t>
            </w:r>
          </w:p>
        </w:tc>
        <w:tc>
          <w:tcPr>
            <w:tcW w:type="dxa" w:w="1984"/>
            <w:tcMar>
              <w:top w:type="dxa" w:w="60"/>
              <w:left w:type="dxa" w:w="100"/>
              <w:bottom w:type="dxa" w:w="60"/>
              <w:right w:type="dxa" w:w="100"/>
            </w:tcMar>
          </w:tcPr>
          <w:p>
            <w:pPr>
              <w:spacing w:after="0" w:before="0"/>
              <w:jc w:val="left"/>
            </w:pPr>
            <w:r>
              <w:rPr>
                <w:b w:val="false"/>
                <w:bCs w:val="false"/>
                <w:sz w:val="19"/>
                <w:szCs w:val="19"/>
              </w:rPr>
              <w:t xml:space="preserve">+7 (+54%)</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Impressions</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1,500</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1,043</w:t>
            </w:r>
          </w:p>
        </w:tc>
        <w:tc>
          <w:tcPr>
            <w:tcW w:type="dxa" w:w="1984"/>
            <w:tcMar>
              <w:top w:type="dxa" w:w="60"/>
              <w:left w:type="dxa" w:w="100"/>
              <w:bottom w:type="dxa" w:w="60"/>
              <w:right w:type="dxa" w:w="100"/>
            </w:tcMar>
          </w:tcPr>
          <w:p>
            <w:pPr>
              <w:spacing w:after="0" w:before="0"/>
              <w:jc w:val="left"/>
            </w:pPr>
            <w:r>
              <w:rPr>
                <w:b w:val="false"/>
                <w:bCs w:val="false"/>
                <w:sz w:val="19"/>
                <w:szCs w:val="19"/>
              </w:rPr>
              <w:t xml:space="preserve">+457 (+44%)</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CTR</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1.33%</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1.25%</w:t>
            </w:r>
          </w:p>
        </w:tc>
        <w:tc>
          <w:tcPr>
            <w:tcW w:type="dxa" w:w="1984"/>
            <w:tcMar>
              <w:top w:type="dxa" w:w="60"/>
              <w:left w:type="dxa" w:w="100"/>
              <w:bottom w:type="dxa" w:w="60"/>
              <w:right w:type="dxa" w:w="100"/>
            </w:tcMar>
          </w:tcPr>
          <w:p>
            <w:pPr>
              <w:spacing w:after="0" w:before="0"/>
              <w:jc w:val="left"/>
            </w:pPr>
            <w:r>
              <w:rPr>
                <w:b w:val="false"/>
                <w:bCs w:val="false"/>
                <w:sz w:val="19"/>
                <w:szCs w:val="19"/>
              </w:rPr>
              <w:t xml:space="preserve">+0.08 pts</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Avg. Position</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30.4</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44.0</w:t>
            </w:r>
          </w:p>
        </w:tc>
        <w:tc>
          <w:tcPr>
            <w:tcW w:type="dxa" w:w="1984"/>
            <w:tcMar>
              <w:top w:type="dxa" w:w="60"/>
              <w:left w:type="dxa" w:w="100"/>
              <w:bottom w:type="dxa" w:w="60"/>
              <w:right w:type="dxa" w:w="100"/>
            </w:tcMar>
          </w:tcPr>
          <w:p>
            <w:pPr>
              <w:spacing w:after="0" w:before="0"/>
              <w:jc w:val="left"/>
            </w:pPr>
            <w:r>
              <w:rPr>
                <w:b w:val="false"/>
                <w:bCs w:val="false"/>
                <w:sz w:val="19"/>
                <w:szCs w:val="19"/>
              </w:rPr>
              <w:t xml:space="preserve">+13.6 improved</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Queries with impressions</w:t>
            </w:r>
          </w:p>
        </w:tc>
        <w:tc>
          <w:tcPr>
            <w:tcW w:type="dxa" w:w="2165"/>
            <w:tcMar>
              <w:top w:type="dxa" w:w="60"/>
              <w:left w:type="dxa" w:w="100"/>
              <w:bottom w:type="dxa" w:w="60"/>
              <w:right w:type="dxa" w:w="100"/>
            </w:tcMar>
          </w:tcPr>
          <w:p>
            <w:pPr>
              <w:spacing w:after="0" w:before="0"/>
              <w:jc w:val="right"/>
            </w:pPr>
            <w:r>
              <w:rPr>
                <w:b w:val="false"/>
                <w:bCs w:val="false"/>
                <w:sz w:val="19"/>
                <w:szCs w:val="19"/>
              </w:rPr>
              <w:t xml:space="preserve">163</w:t>
            </w:r>
          </w:p>
        </w:tc>
        <w:tc>
          <w:tcPr>
            <w:tcW w:type="dxa" w:w="2165"/>
            <w:tcMar>
              <w:top w:type="dxa" w:w="60"/>
              <w:left w:type="dxa" w:w="100"/>
              <w:bottom w:type="dxa" w:w="60"/>
              <w:right w:type="dxa" w:w="100"/>
            </w:tcMar>
          </w:tcPr>
          <w:p>
            <w:pPr>
              <w:spacing w:after="0" w:before="0"/>
              <w:jc w:val="left"/>
            </w:pPr>
            <w:r>
              <w:rPr>
                <w:b w:val="false"/>
                <w:bCs w:val="false"/>
                <w:sz w:val="19"/>
                <w:szCs w:val="19"/>
              </w:rPr>
              <w:t xml:space="preserve">—</w:t>
            </w:r>
          </w:p>
        </w:tc>
        <w:tc>
          <w:tcPr>
            <w:tcW w:type="dxa" w:w="1984"/>
            <w:tcMar>
              <w:top w:type="dxa" w:w="60"/>
              <w:left w:type="dxa" w:w="100"/>
              <w:bottom w:type="dxa" w:w="60"/>
              <w:right w:type="dxa" w:w="100"/>
            </w:tcMar>
          </w:tcPr>
          <w:p>
            <w:pPr>
              <w:spacing w:after="0" w:before="0"/>
              <w:jc w:val="left"/>
            </w:pPr>
            <w:r>
              <w:rPr>
                <w:b w:val="false"/>
                <w:bCs w:val="false"/>
                <w:sz w:val="19"/>
                <w:szCs w:val="19"/>
              </w:rPr>
              <w:t xml:space="preserve">—</w:t>
            </w:r>
          </w:p>
        </w:tc>
      </w:tr>
    </w:tbl>
    <w:p>
      <w:pPr>
        <w:spacing w:after="120" w:before="120"/>
      </w:pPr>
      <w:r>
        <w:rPr>
          <w:sz w:val="21"/>
          <w:szCs w:val="21"/>
        </w:rPr>
        <w:t xml:space="preserve">Impressions grew 44% and average position improved by nearly 14 places. Clicks remain low in absolute terms because the majority of queries still rank below Page 3, but the direction of travel is consistent across every metric. Google has not yet fully re-crawled the pages updated during the period, so further position gains are expected over the next 30 days.</w:t>
      </w:r>
    </w:p>
    <w:p>
      <w:pPr>
        <w:pStyle w:val="Heading1"/>
        <w:spacing w:after="140" w:before="320"/>
      </w:pPr>
      <w:r>
        <w:rPr>
          <w:b/>
          <w:bCs/>
          <w:color w:val="1F3864"/>
          <w:sz w:val="26"/>
          <w:szCs w:val="26"/>
        </w:rPr>
        <w:t xml:space="preserve">Top Keywords (Search Console)</w:t>
      </w:r>
    </w:p>
    <w:p>
      <w:pPr>
        <w:spacing w:after="120" w:before="120"/>
      </w:pPr>
      <w:r>
        <w:rPr>
          <w:sz w:val="21"/>
          <w:szCs w:val="21"/>
        </w:rPr>
        <w:t xml:space="preserve">Ranked by impressions, with position change against the previous period:</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3428"/>
        <w:gridCol w:w="1263"/>
        <w:gridCol w:w="1263"/>
        <w:gridCol w:w="1443"/>
        <w:gridCol w:w="1623"/>
      </w:tblGrid>
      <w:tr>
        <w:trPr>
          <w:tblHeader/>
        </w:trPr>
        <w:tc>
          <w:tcPr>
            <w:tcW w:type="dxa" w:w="3428"/>
            <w:shd w:fill="E8EEF4" w:color="auto" w:val="clear"/>
            <w:tcMar>
              <w:top w:type="dxa" w:w="60"/>
              <w:left w:type="dxa" w:w="100"/>
              <w:bottom w:type="dxa" w:w="60"/>
              <w:right w:type="dxa" w:w="100"/>
            </w:tcMar>
          </w:tcPr>
          <w:p>
            <w:pPr>
              <w:spacing w:after="0" w:before="0"/>
              <w:jc w:val="left"/>
            </w:pPr>
            <w:r>
              <w:rPr>
                <w:b/>
                <w:bCs/>
                <w:sz w:val="19"/>
                <w:szCs w:val="19"/>
              </w:rPr>
              <w:t xml:space="preserve">Keyword</w:t>
            </w:r>
          </w:p>
        </w:tc>
        <w:tc>
          <w:tcPr>
            <w:tcW w:type="dxa" w:w="1263"/>
            <w:shd w:fill="E8EEF4" w:color="auto" w:val="clear"/>
            <w:tcMar>
              <w:top w:type="dxa" w:w="60"/>
              <w:left w:type="dxa" w:w="100"/>
              <w:bottom w:type="dxa" w:w="60"/>
              <w:right w:type="dxa" w:w="100"/>
            </w:tcMar>
          </w:tcPr>
          <w:p>
            <w:pPr>
              <w:spacing w:after="0" w:before="0"/>
              <w:jc w:val="right"/>
            </w:pPr>
            <w:r>
              <w:rPr>
                <w:b/>
                <w:bCs/>
                <w:sz w:val="19"/>
                <w:szCs w:val="19"/>
              </w:rPr>
              <w:t xml:space="preserve">Impr.</w:t>
            </w:r>
          </w:p>
        </w:tc>
        <w:tc>
          <w:tcPr>
            <w:tcW w:type="dxa" w:w="1263"/>
            <w:shd w:fill="E8EEF4" w:color="auto" w:val="clear"/>
            <w:tcMar>
              <w:top w:type="dxa" w:w="60"/>
              <w:left w:type="dxa" w:w="100"/>
              <w:bottom w:type="dxa" w:w="60"/>
              <w:right w:type="dxa" w:w="100"/>
            </w:tcMar>
          </w:tcPr>
          <w:p>
            <w:pPr>
              <w:spacing w:after="0" w:before="0"/>
              <w:jc w:val="right"/>
            </w:pPr>
            <w:r>
              <w:rPr>
                <w:b/>
                <w:bCs/>
                <w:sz w:val="19"/>
                <w:szCs w:val="19"/>
              </w:rPr>
              <w:t xml:space="preserve">Clicks</w:t>
            </w:r>
          </w:p>
        </w:tc>
        <w:tc>
          <w:tcPr>
            <w:tcW w:type="dxa" w:w="1443"/>
            <w:shd w:fill="E8EEF4" w:color="auto" w:val="clear"/>
            <w:tcMar>
              <w:top w:type="dxa" w:w="60"/>
              <w:left w:type="dxa" w:w="100"/>
              <w:bottom w:type="dxa" w:w="60"/>
              <w:right w:type="dxa" w:w="100"/>
            </w:tcMar>
          </w:tcPr>
          <w:p>
            <w:pPr>
              <w:spacing w:after="0" w:before="0"/>
              <w:jc w:val="right"/>
            </w:pPr>
            <w:r>
              <w:rPr>
                <w:b/>
                <w:bCs/>
                <w:sz w:val="19"/>
                <w:szCs w:val="19"/>
              </w:rPr>
              <w:t xml:space="preserve">Pos.</w:t>
            </w:r>
          </w:p>
        </w:tc>
        <w:tc>
          <w:tcPr>
            <w:tcW w:type="dxa" w:w="1623"/>
            <w:shd w:fill="E8EEF4" w:color="auto" w:val="clear"/>
            <w:tcMar>
              <w:top w:type="dxa" w:w="60"/>
              <w:left w:type="dxa" w:w="100"/>
              <w:bottom w:type="dxa" w:w="60"/>
              <w:right w:type="dxa" w:w="100"/>
            </w:tcMar>
          </w:tcPr>
          <w:p>
            <w:pPr>
              <w:spacing w:after="0" w:before="0"/>
              <w:jc w:val="right"/>
            </w:pPr>
            <w:r>
              <w:rPr>
                <w:b/>
                <w:bCs/>
                <w:sz w:val="19"/>
                <w:szCs w:val="19"/>
              </w:rPr>
              <w:t xml:space="preserve">Prev Pos.</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research compounds</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179</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15.3</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40.8</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laboratory research compounds</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36</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50.0</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60.6</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subtilisin market</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35</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62.9</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56.7</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compound research</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31</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32.4</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48.2</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compounds for research</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24</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12.6</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17.0</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serine elastase kit market</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10</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75.6</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68.0</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hcg receptor antibody</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9</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58.9</w:t>
            </w:r>
          </w:p>
        </w:tc>
        <w:tc>
          <w:tcPr>
            <w:tcW w:type="dxa" w:w="1623"/>
            <w:tcMar>
              <w:top w:type="dxa" w:w="60"/>
              <w:left w:type="dxa" w:w="100"/>
              <w:bottom w:type="dxa" w:w="60"/>
              <w:right w:type="dxa" w:w="100"/>
            </w:tcMar>
          </w:tcPr>
          <w:p>
            <w:pPr>
              <w:spacing w:after="0" w:before="0"/>
              <w:jc w:val="left"/>
            </w:pPr>
            <w:r>
              <w:rPr>
                <w:b w:val="false"/>
                <w:bCs w:val="false"/>
                <w:sz w:val="19"/>
                <w:szCs w:val="19"/>
              </w:rPr>
              <w:t xml:space="preserve">New</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daptomycin market</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9</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67.6</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75.5</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arise healthcare</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8</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18.4</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39.9</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peptide research</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8</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94.4</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81.1</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cathelicidin ll-37 (product query)</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7</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12.7</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12.3</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growth hormone mechanism</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7</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44.9</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39.0</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research peptides</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7</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69.1</w:t>
            </w:r>
          </w:p>
        </w:tc>
        <w:tc>
          <w:tcPr>
            <w:tcW w:type="dxa" w:w="1623"/>
            <w:tcMar>
              <w:top w:type="dxa" w:w="60"/>
              <w:left w:type="dxa" w:w="100"/>
              <w:bottom w:type="dxa" w:w="60"/>
              <w:right w:type="dxa" w:w="100"/>
            </w:tcMar>
          </w:tcPr>
          <w:p>
            <w:pPr>
              <w:spacing w:after="0" w:before="0"/>
              <w:jc w:val="left"/>
            </w:pPr>
            <w:r>
              <w:rPr>
                <w:b w:val="false"/>
                <w:bCs w:val="false"/>
                <w:sz w:val="19"/>
                <w:szCs w:val="19"/>
              </w:rPr>
              <w:t xml:space="preserve">New</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research compound</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5</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7.8</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24.5</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aarise</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5</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9.6</w:t>
            </w:r>
          </w:p>
        </w:tc>
        <w:tc>
          <w:tcPr>
            <w:tcW w:type="dxa" w:w="1623"/>
            <w:tcMar>
              <w:top w:type="dxa" w:w="60"/>
              <w:left w:type="dxa" w:w="100"/>
              <w:bottom w:type="dxa" w:w="60"/>
              <w:right w:type="dxa" w:w="100"/>
            </w:tcMar>
          </w:tcPr>
          <w:p>
            <w:pPr>
              <w:spacing w:after="0" w:before="0"/>
              <w:jc w:val="left"/>
            </w:pPr>
            <w:r>
              <w:rPr>
                <w:b w:val="false"/>
                <w:bCs w:val="false"/>
                <w:sz w:val="19"/>
                <w:szCs w:val="19"/>
              </w:rPr>
              <w:t xml:space="preserve">New</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coa report</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3</w:t>
            </w:r>
          </w:p>
        </w:tc>
        <w:tc>
          <w:tcPr>
            <w:tcW w:type="dxa" w:w="126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7.0</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21.5</w:t>
            </w:r>
          </w:p>
        </w:tc>
      </w:tr>
    </w:tbl>
    <w:p>
      <w:pPr>
        <w:spacing w:after="120" w:before="120"/>
      </w:pPr>
      <w:r>
        <w:rPr>
          <w:sz w:val="21"/>
          <w:szCs w:val="21"/>
        </w:rPr>
        <w:t xml:space="preserve">"Research compounds" — the primary commercial term for this site — moved from position 40.8 to 15.3, with impressions rising from 21 to 179. It is now just outside Page 1 and is the single most important keyword to watch. Three terms broke onto Page 1 this month: "research compound" (7.8), "aarise" (9.6) and "coa report" (7.0).</w:t>
      </w:r>
    </w:p>
    <w:p>
      <w:pPr>
        <w:spacing w:after="120" w:before="120"/>
      </w:pPr>
      <w:r>
        <w:rPr>
          <w:sz w:val="21"/>
          <w:szCs w:val="21"/>
        </w:rPr>
        <w:t xml:space="preserve">All listed queries show zero clicks because the 20 clicks recorded this period came from queries that fall below Google's reporting threshold and are therefore anonymised in the export.</w:t>
      </w:r>
    </w:p>
    <w:p>
      <w:pPr>
        <w:spacing w:after="120" w:before="120"/>
      </w:pPr>
      <w:r>
        <w:rPr>
          <w:sz w:val="21"/>
          <w:szCs w:val="21"/>
        </w:rPr>
        <w:t xml:space="preserve">Several queries are exact-match strings of product listing text (for example a product name paired with "select options"). These carry no commercial intent and are typically a sign that catalogue copy has been duplicated elsewhere — worth monitoring, but not worth optimising for.</w:t>
      </w:r>
    </w:p>
    <w:p>
      <w:pPr>
        <w:pStyle w:val="Heading1"/>
        <w:spacing w:after="140" w:before="320"/>
      </w:pPr>
      <w:r>
        <w:rPr>
          <w:b/>
          <w:bCs/>
          <w:color w:val="1F3864"/>
          <w:sz w:val="26"/>
          <w:szCs w:val="26"/>
        </w:rPr>
        <w:t xml:space="preserve">Top Pages (Search Console)</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3879"/>
        <w:gridCol w:w="1082"/>
        <w:gridCol w:w="1533"/>
        <w:gridCol w:w="1173"/>
        <w:gridCol w:w="1353"/>
      </w:tblGrid>
      <w:tr>
        <w:trPr>
          <w:tblHeader/>
        </w:trPr>
        <w:tc>
          <w:tcPr>
            <w:tcW w:type="dxa" w:w="3879"/>
            <w:shd w:fill="E8EEF4" w:color="auto" w:val="clear"/>
            <w:tcMar>
              <w:top w:type="dxa" w:w="60"/>
              <w:left w:type="dxa" w:w="100"/>
              <w:bottom w:type="dxa" w:w="60"/>
              <w:right w:type="dxa" w:w="100"/>
            </w:tcMar>
          </w:tcPr>
          <w:p>
            <w:pPr>
              <w:spacing w:after="0" w:before="0"/>
              <w:jc w:val="left"/>
            </w:pPr>
            <w:r>
              <w:rPr>
                <w:b/>
                <w:bCs/>
                <w:sz w:val="19"/>
                <w:szCs w:val="19"/>
              </w:rPr>
              <w:t xml:space="preserve">Page</w:t>
            </w:r>
          </w:p>
        </w:tc>
        <w:tc>
          <w:tcPr>
            <w:tcW w:type="dxa" w:w="1082"/>
            <w:shd w:fill="E8EEF4" w:color="auto" w:val="clear"/>
            <w:tcMar>
              <w:top w:type="dxa" w:w="60"/>
              <w:left w:type="dxa" w:w="100"/>
              <w:bottom w:type="dxa" w:w="60"/>
              <w:right w:type="dxa" w:w="100"/>
            </w:tcMar>
          </w:tcPr>
          <w:p>
            <w:pPr>
              <w:spacing w:after="0" w:before="0"/>
              <w:jc w:val="right"/>
            </w:pPr>
            <w:r>
              <w:rPr>
                <w:b/>
                <w:bCs/>
                <w:sz w:val="19"/>
                <w:szCs w:val="19"/>
              </w:rPr>
              <w:t xml:space="preserve">Clicks</w:t>
            </w:r>
          </w:p>
        </w:tc>
        <w:tc>
          <w:tcPr>
            <w:tcW w:type="dxa" w:w="1533"/>
            <w:shd w:fill="E8EEF4" w:color="auto" w:val="clear"/>
            <w:tcMar>
              <w:top w:type="dxa" w:w="60"/>
              <w:left w:type="dxa" w:w="100"/>
              <w:bottom w:type="dxa" w:w="60"/>
              <w:right w:type="dxa" w:w="100"/>
            </w:tcMar>
          </w:tcPr>
          <w:p>
            <w:pPr>
              <w:spacing w:after="0" w:before="0"/>
              <w:jc w:val="right"/>
            </w:pPr>
            <w:r>
              <w:rPr>
                <w:b/>
                <w:bCs/>
                <w:sz w:val="19"/>
                <w:szCs w:val="19"/>
              </w:rPr>
              <w:t xml:space="preserve">Impressions</w:t>
            </w:r>
          </w:p>
        </w:tc>
        <w:tc>
          <w:tcPr>
            <w:tcW w:type="dxa" w:w="1173"/>
            <w:shd w:fill="E8EEF4" w:color="auto" w:val="clear"/>
            <w:tcMar>
              <w:top w:type="dxa" w:w="60"/>
              <w:left w:type="dxa" w:w="100"/>
              <w:bottom w:type="dxa" w:w="60"/>
              <w:right w:type="dxa" w:w="100"/>
            </w:tcMar>
          </w:tcPr>
          <w:p>
            <w:pPr>
              <w:spacing w:after="0" w:before="0"/>
              <w:jc w:val="right"/>
            </w:pPr>
            <w:r>
              <w:rPr>
                <w:b/>
                <w:bCs/>
                <w:sz w:val="19"/>
                <w:szCs w:val="19"/>
              </w:rPr>
              <w:t xml:space="preserve">CTR</w:t>
            </w:r>
          </w:p>
        </w:tc>
        <w:tc>
          <w:tcPr>
            <w:tcW w:type="dxa" w:w="1353"/>
            <w:shd w:fill="E8EEF4" w:color="auto" w:val="clear"/>
            <w:tcMar>
              <w:top w:type="dxa" w:w="60"/>
              <w:left w:type="dxa" w:w="100"/>
              <w:bottom w:type="dxa" w:w="60"/>
              <w:right w:type="dxa" w:w="100"/>
            </w:tcMar>
          </w:tcPr>
          <w:p>
            <w:pPr>
              <w:spacing w:after="0" w:before="0"/>
              <w:jc w:val="right"/>
            </w:pPr>
            <w:r>
              <w:rPr>
                <w:b/>
                <w:bCs/>
                <w:sz w:val="19"/>
                <w:szCs w:val="19"/>
              </w:rPr>
              <w:t xml:space="preserve">Position</w:t>
            </w:r>
          </w:p>
        </w:tc>
      </w:tr>
      <w:tr>
        <w:tc>
          <w:tcPr>
            <w:tcW w:type="dxa" w:w="3879"/>
            <w:tcMar>
              <w:top w:type="dxa" w:w="60"/>
              <w:left w:type="dxa" w:w="100"/>
              <w:bottom w:type="dxa" w:w="60"/>
              <w:right w:type="dxa" w:w="100"/>
            </w:tcMar>
          </w:tcPr>
          <w:p>
            <w:pPr>
              <w:spacing w:after="0" w:before="0"/>
              <w:jc w:val="left"/>
            </w:pPr>
            <w:r>
              <w:rPr>
                <w:b w:val="false"/>
                <w:bCs w:val="false"/>
                <w:sz w:val="19"/>
                <w:szCs w:val="19"/>
              </w:rPr>
              <w:t xml:space="preserve">Homepage</w:t>
            </w:r>
          </w:p>
        </w:tc>
        <w:tc>
          <w:tcPr>
            <w:tcW w:type="dxa" w:w="1082"/>
            <w:tcMar>
              <w:top w:type="dxa" w:w="60"/>
              <w:left w:type="dxa" w:w="100"/>
              <w:bottom w:type="dxa" w:w="60"/>
              <w:right w:type="dxa" w:w="100"/>
            </w:tcMar>
          </w:tcPr>
          <w:p>
            <w:pPr>
              <w:spacing w:after="0" w:before="0"/>
              <w:jc w:val="right"/>
            </w:pPr>
            <w:r>
              <w:rPr>
                <w:b w:val="false"/>
                <w:bCs w:val="false"/>
                <w:sz w:val="19"/>
                <w:szCs w:val="19"/>
              </w:rPr>
              <w:t xml:space="preserve">3</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64</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4.69%</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14.6</w:t>
            </w:r>
          </w:p>
        </w:tc>
      </w:tr>
      <w:tr>
        <w:tc>
          <w:tcPr>
            <w:tcW w:type="dxa" w:w="3879"/>
            <w:tcMar>
              <w:top w:type="dxa" w:w="60"/>
              <w:left w:type="dxa" w:w="100"/>
              <w:bottom w:type="dxa" w:w="60"/>
              <w:right w:type="dxa" w:w="100"/>
            </w:tcMar>
          </w:tcPr>
          <w:p>
            <w:pPr>
              <w:spacing w:after="0" w:before="0"/>
              <w:jc w:val="left"/>
            </w:pPr>
            <w:r>
              <w:rPr>
                <w:b w:val="false"/>
                <w:bCs w:val="false"/>
                <w:sz w:val="19"/>
                <w:szCs w:val="19"/>
              </w:rPr>
              <w:t xml:space="preserve">Research Peptides US — Supplier Guide</w:t>
            </w:r>
          </w:p>
        </w:tc>
        <w:tc>
          <w:tcPr>
            <w:tcW w:type="dxa" w:w="1082"/>
            <w:tcMar>
              <w:top w:type="dxa" w:w="60"/>
              <w:left w:type="dxa" w:w="100"/>
              <w:bottom w:type="dxa" w:w="60"/>
              <w:right w:type="dxa" w:w="100"/>
            </w:tcMar>
          </w:tcPr>
          <w:p>
            <w:pPr>
              <w:spacing w:after="0" w:before="0"/>
              <w:jc w:val="right"/>
            </w:pPr>
            <w:r>
              <w:rPr>
                <w:b w:val="false"/>
                <w:bCs w:val="false"/>
                <w:sz w:val="19"/>
                <w:szCs w:val="19"/>
              </w:rPr>
              <w:t xml:space="preserve">3</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26</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11.5%</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80.4</w:t>
            </w:r>
          </w:p>
        </w:tc>
      </w:tr>
      <w:tr>
        <w:tc>
          <w:tcPr>
            <w:tcW w:type="dxa" w:w="3879"/>
            <w:tcMar>
              <w:top w:type="dxa" w:w="60"/>
              <w:left w:type="dxa" w:w="100"/>
              <w:bottom w:type="dxa" w:w="60"/>
              <w:right w:type="dxa" w:w="100"/>
            </w:tcMar>
          </w:tcPr>
          <w:p>
            <w:pPr>
              <w:spacing w:after="0" w:before="0"/>
              <w:jc w:val="left"/>
            </w:pPr>
            <w:r>
              <w:rPr>
                <w:b w:val="false"/>
                <w:bCs w:val="false"/>
                <w:sz w:val="19"/>
                <w:szCs w:val="19"/>
              </w:rPr>
              <w:t xml:space="preserve">What Are Research Compounds &amp; Why Purity Matters</w:t>
            </w:r>
          </w:p>
        </w:tc>
        <w:tc>
          <w:tcPr>
            <w:tcW w:type="dxa" w:w="1082"/>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372</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0.27%</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19.9</w:t>
            </w:r>
          </w:p>
        </w:tc>
      </w:tr>
      <w:tr>
        <w:tc>
          <w:tcPr>
            <w:tcW w:type="dxa" w:w="3879"/>
            <w:tcMar>
              <w:top w:type="dxa" w:w="60"/>
              <w:left w:type="dxa" w:w="100"/>
              <w:bottom w:type="dxa" w:w="60"/>
              <w:right w:type="dxa" w:w="100"/>
            </w:tcMar>
          </w:tcPr>
          <w:p>
            <w:pPr>
              <w:spacing w:after="0" w:before="0"/>
              <w:jc w:val="left"/>
            </w:pPr>
            <w:r>
              <w:rPr>
                <w:b w:val="false"/>
                <w:bCs w:val="false"/>
                <w:sz w:val="19"/>
                <w:szCs w:val="19"/>
              </w:rPr>
              <w:t xml:space="preserve">Shipping Research Compounds Internationally</w:t>
            </w:r>
          </w:p>
        </w:tc>
        <w:tc>
          <w:tcPr>
            <w:tcW w:type="dxa" w:w="1082"/>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46</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2.17%</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14.7</w:t>
            </w:r>
          </w:p>
        </w:tc>
      </w:tr>
      <w:tr>
        <w:tc>
          <w:tcPr>
            <w:tcW w:type="dxa" w:w="3879"/>
            <w:tcMar>
              <w:top w:type="dxa" w:w="60"/>
              <w:left w:type="dxa" w:w="100"/>
              <w:bottom w:type="dxa" w:w="60"/>
              <w:right w:type="dxa" w:w="100"/>
            </w:tcMar>
          </w:tcPr>
          <w:p>
            <w:pPr>
              <w:spacing w:after="0" w:before="0"/>
              <w:jc w:val="left"/>
            </w:pPr>
            <w:r>
              <w:rPr>
                <w:b w:val="false"/>
                <w:bCs w:val="false"/>
                <w:sz w:val="19"/>
                <w:szCs w:val="19"/>
              </w:rPr>
              <w:t xml:space="preserve">About Us</w:t>
            </w:r>
          </w:p>
        </w:tc>
        <w:tc>
          <w:tcPr>
            <w:tcW w:type="dxa" w:w="1082"/>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34</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2.94%</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40.7</w:t>
            </w:r>
          </w:p>
        </w:tc>
      </w:tr>
      <w:tr>
        <w:tc>
          <w:tcPr>
            <w:tcW w:type="dxa" w:w="3879"/>
            <w:tcMar>
              <w:top w:type="dxa" w:w="60"/>
              <w:left w:type="dxa" w:w="100"/>
              <w:bottom w:type="dxa" w:w="60"/>
              <w:right w:type="dxa" w:w="100"/>
            </w:tcMar>
          </w:tcPr>
          <w:p>
            <w:pPr>
              <w:spacing w:after="0" w:before="0"/>
              <w:jc w:val="left"/>
            </w:pPr>
            <w:r>
              <w:rPr>
                <w:b w:val="false"/>
                <w:bCs w:val="false"/>
                <w:sz w:val="19"/>
                <w:szCs w:val="19"/>
              </w:rPr>
              <w:t xml:space="preserve">CJC-1295 With DAC vs Without DAC</w:t>
            </w:r>
          </w:p>
        </w:tc>
        <w:tc>
          <w:tcPr>
            <w:tcW w:type="dxa" w:w="1082"/>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29</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3.45%</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76.6</w:t>
            </w:r>
          </w:p>
        </w:tc>
      </w:tr>
      <w:tr>
        <w:tc>
          <w:tcPr>
            <w:tcW w:type="dxa" w:w="3879"/>
            <w:tcMar>
              <w:top w:type="dxa" w:w="60"/>
              <w:left w:type="dxa" w:w="100"/>
              <w:bottom w:type="dxa" w:w="60"/>
              <w:right w:type="dxa" w:w="100"/>
            </w:tcMar>
          </w:tcPr>
          <w:p>
            <w:pPr>
              <w:spacing w:after="0" w:before="0"/>
              <w:jc w:val="left"/>
            </w:pPr>
            <w:r>
              <w:rPr>
                <w:b w:val="false"/>
                <w:bCs w:val="false"/>
                <w:sz w:val="19"/>
                <w:szCs w:val="19"/>
              </w:rPr>
              <w:t xml:space="preserve">Boldenone Undecylenate Research Guide</w:t>
            </w:r>
          </w:p>
        </w:tc>
        <w:tc>
          <w:tcPr>
            <w:tcW w:type="dxa" w:w="1082"/>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17</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5.88%</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12.5</w:t>
            </w:r>
          </w:p>
        </w:tc>
      </w:tr>
      <w:tr>
        <w:tc>
          <w:tcPr>
            <w:tcW w:type="dxa" w:w="3879"/>
            <w:tcMar>
              <w:top w:type="dxa" w:w="60"/>
              <w:left w:type="dxa" w:w="100"/>
              <w:bottom w:type="dxa" w:w="60"/>
              <w:right w:type="dxa" w:w="100"/>
            </w:tcMar>
          </w:tcPr>
          <w:p>
            <w:pPr>
              <w:spacing w:after="0" w:before="0"/>
              <w:jc w:val="left"/>
            </w:pPr>
            <w:r>
              <w:rPr>
                <w:b w:val="false"/>
                <w:bCs w:val="false"/>
                <w:sz w:val="19"/>
                <w:szCs w:val="19"/>
              </w:rPr>
              <w:t xml:space="preserve">Research Peptides Paraguay — Supplier Guide</w:t>
            </w:r>
          </w:p>
        </w:tc>
        <w:tc>
          <w:tcPr>
            <w:tcW w:type="dxa" w:w="1082"/>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10</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10.0%</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21.1</w:t>
            </w:r>
          </w:p>
        </w:tc>
      </w:tr>
      <w:tr>
        <w:tc>
          <w:tcPr>
            <w:tcW w:type="dxa" w:w="3879"/>
            <w:tcMar>
              <w:top w:type="dxa" w:w="60"/>
              <w:left w:type="dxa" w:w="100"/>
              <w:bottom w:type="dxa" w:w="60"/>
              <w:right w:type="dxa" w:w="100"/>
            </w:tcMar>
          </w:tcPr>
          <w:p>
            <w:pPr>
              <w:spacing w:after="0" w:before="0"/>
              <w:jc w:val="left"/>
            </w:pPr>
            <w:r>
              <w:rPr>
                <w:b w:val="false"/>
                <w:bCs w:val="false"/>
                <w:sz w:val="19"/>
                <w:szCs w:val="19"/>
              </w:rPr>
              <w:t xml:space="preserve">Research Peptides Mexico — Supplier Guide</w:t>
            </w:r>
          </w:p>
        </w:tc>
        <w:tc>
          <w:tcPr>
            <w:tcW w:type="dxa" w:w="1082"/>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9</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11.1%</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39.7</w:t>
            </w:r>
          </w:p>
        </w:tc>
      </w:tr>
      <w:tr>
        <w:tc>
          <w:tcPr>
            <w:tcW w:type="dxa" w:w="3879"/>
            <w:tcMar>
              <w:top w:type="dxa" w:w="60"/>
              <w:left w:type="dxa" w:w="100"/>
              <w:bottom w:type="dxa" w:w="60"/>
              <w:right w:type="dxa" w:w="100"/>
            </w:tcMar>
          </w:tcPr>
          <w:p>
            <w:pPr>
              <w:spacing w:after="0" w:before="0"/>
              <w:jc w:val="left"/>
            </w:pPr>
            <w:r>
              <w:rPr>
                <w:b w:val="false"/>
                <w:bCs w:val="false"/>
                <w:sz w:val="19"/>
                <w:szCs w:val="19"/>
              </w:rPr>
              <w:t xml:space="preserve">Follistatin-344 (product)</w:t>
            </w:r>
          </w:p>
        </w:tc>
        <w:tc>
          <w:tcPr>
            <w:tcW w:type="dxa" w:w="1082"/>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7</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14.3%</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18.4</w:t>
            </w:r>
          </w:p>
        </w:tc>
      </w:tr>
      <w:tr>
        <w:tc>
          <w:tcPr>
            <w:tcW w:type="dxa" w:w="3879"/>
            <w:tcMar>
              <w:top w:type="dxa" w:w="60"/>
              <w:left w:type="dxa" w:w="100"/>
              <w:bottom w:type="dxa" w:w="60"/>
              <w:right w:type="dxa" w:w="100"/>
            </w:tcMar>
          </w:tcPr>
          <w:p>
            <w:pPr>
              <w:spacing w:after="0" w:before="0"/>
              <w:jc w:val="left"/>
            </w:pPr>
            <w:r>
              <w:rPr>
                <w:b w:val="false"/>
                <w:bCs w:val="false"/>
                <w:sz w:val="19"/>
                <w:szCs w:val="19"/>
              </w:rPr>
              <w:t xml:space="preserve">Neutrase (product)</w:t>
            </w:r>
          </w:p>
        </w:tc>
        <w:tc>
          <w:tcPr>
            <w:tcW w:type="dxa" w:w="1082"/>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5</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20.0%</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7.6</w:t>
            </w:r>
          </w:p>
        </w:tc>
      </w:tr>
      <w:tr>
        <w:tc>
          <w:tcPr>
            <w:tcW w:type="dxa" w:w="3879"/>
            <w:tcMar>
              <w:top w:type="dxa" w:w="60"/>
              <w:left w:type="dxa" w:w="100"/>
              <w:bottom w:type="dxa" w:w="60"/>
              <w:right w:type="dxa" w:w="100"/>
            </w:tcMar>
          </w:tcPr>
          <w:p>
            <w:pPr>
              <w:spacing w:after="0" w:before="0"/>
              <w:jc w:val="left"/>
            </w:pPr>
            <w:r>
              <w:rPr>
                <w:b w:val="false"/>
                <w:bCs w:val="false"/>
                <w:sz w:val="19"/>
                <w:szCs w:val="19"/>
              </w:rPr>
              <w:t xml:space="preserve">Alcalase (product)</w:t>
            </w:r>
          </w:p>
        </w:tc>
        <w:tc>
          <w:tcPr>
            <w:tcW w:type="dxa" w:w="1082"/>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3</w:t>
            </w:r>
          </w:p>
        </w:tc>
        <w:tc>
          <w:tcPr>
            <w:tcW w:type="dxa" w:w="1173"/>
            <w:tcMar>
              <w:top w:type="dxa" w:w="60"/>
              <w:left w:type="dxa" w:w="100"/>
              <w:bottom w:type="dxa" w:w="60"/>
              <w:right w:type="dxa" w:w="100"/>
            </w:tcMar>
          </w:tcPr>
          <w:p>
            <w:pPr>
              <w:spacing w:after="0" w:before="0"/>
              <w:jc w:val="right"/>
            </w:pPr>
            <w:r>
              <w:rPr>
                <w:b w:val="false"/>
                <w:bCs w:val="false"/>
                <w:sz w:val="19"/>
                <w:szCs w:val="19"/>
              </w:rPr>
              <w:t xml:space="preserve">33.3%</w:t>
            </w:r>
          </w:p>
        </w:tc>
        <w:tc>
          <w:tcPr>
            <w:tcW w:type="dxa" w:w="1353"/>
            <w:tcMar>
              <w:top w:type="dxa" w:w="60"/>
              <w:left w:type="dxa" w:w="100"/>
              <w:bottom w:type="dxa" w:w="60"/>
              <w:right w:type="dxa" w:w="100"/>
            </w:tcMar>
          </w:tcPr>
          <w:p>
            <w:pPr>
              <w:spacing w:after="0" w:before="0"/>
              <w:jc w:val="right"/>
            </w:pPr>
            <w:r>
              <w:rPr>
                <w:b w:val="false"/>
                <w:bCs w:val="false"/>
                <w:sz w:val="19"/>
                <w:szCs w:val="19"/>
              </w:rPr>
              <w:t xml:space="preserve">5.7</w:t>
            </w:r>
          </w:p>
        </w:tc>
      </w:tr>
    </w:tbl>
    <w:p>
      <w:pPr>
        <w:spacing w:after="120" w:before="120"/>
      </w:pPr>
      <w:r>
        <w:rPr>
          <w:sz w:val="21"/>
          <w:szCs w:val="21"/>
        </w:rPr>
        <w:t xml:space="preserve">The purity guide is by far the largest impression generator at 372 impressions and sits at position 19.9 — a single page-1 push away from becoming the site's first consistent traffic source. The country supplier guides rewritten this month (US, Paraguay, Mexico) are already indexed and earning clicks, confirming the rewrite has taken effect.</w:t>
      </w:r>
    </w:p>
    <w:p>
      <w:pPr>
        <w:pStyle w:val="Heading1"/>
        <w:spacing w:after="140" w:before="320"/>
      </w:pPr>
      <w:r>
        <w:rPr>
          <w:b/>
          <w:bCs/>
          <w:color w:val="1F3864"/>
          <w:sz w:val="26"/>
          <w:szCs w:val="26"/>
        </w:rPr>
        <w:t xml:space="preserve">Device Breakdown (Search Console)</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2706"/>
        <w:gridCol w:w="1533"/>
        <w:gridCol w:w="1804"/>
        <w:gridCol w:w="1443"/>
        <w:gridCol w:w="1534"/>
      </w:tblGrid>
      <w:tr>
        <w:trPr>
          <w:tblHeader/>
        </w:trPr>
        <w:tc>
          <w:tcPr>
            <w:tcW w:type="dxa" w:w="2706"/>
            <w:shd w:fill="E8EEF4" w:color="auto" w:val="clear"/>
            <w:tcMar>
              <w:top w:type="dxa" w:w="60"/>
              <w:left w:type="dxa" w:w="100"/>
              <w:bottom w:type="dxa" w:w="60"/>
              <w:right w:type="dxa" w:w="100"/>
            </w:tcMar>
          </w:tcPr>
          <w:p>
            <w:pPr>
              <w:spacing w:after="0" w:before="0"/>
              <w:jc w:val="left"/>
            </w:pPr>
            <w:r>
              <w:rPr>
                <w:b/>
                <w:bCs/>
                <w:sz w:val="19"/>
                <w:szCs w:val="19"/>
              </w:rPr>
              <w:t xml:space="preserve">Device</w:t>
            </w:r>
          </w:p>
        </w:tc>
        <w:tc>
          <w:tcPr>
            <w:tcW w:type="dxa" w:w="1533"/>
            <w:shd w:fill="E8EEF4" w:color="auto" w:val="clear"/>
            <w:tcMar>
              <w:top w:type="dxa" w:w="60"/>
              <w:left w:type="dxa" w:w="100"/>
              <w:bottom w:type="dxa" w:w="60"/>
              <w:right w:type="dxa" w:w="100"/>
            </w:tcMar>
          </w:tcPr>
          <w:p>
            <w:pPr>
              <w:spacing w:after="0" w:before="0"/>
              <w:jc w:val="right"/>
            </w:pPr>
            <w:r>
              <w:rPr>
                <w:b/>
                <w:bCs/>
                <w:sz w:val="19"/>
                <w:szCs w:val="19"/>
              </w:rPr>
              <w:t xml:space="preserve">Clicks</w:t>
            </w:r>
          </w:p>
        </w:tc>
        <w:tc>
          <w:tcPr>
            <w:tcW w:type="dxa" w:w="1804"/>
            <w:shd w:fill="E8EEF4" w:color="auto" w:val="clear"/>
            <w:tcMar>
              <w:top w:type="dxa" w:w="60"/>
              <w:left w:type="dxa" w:w="100"/>
              <w:bottom w:type="dxa" w:w="60"/>
              <w:right w:type="dxa" w:w="100"/>
            </w:tcMar>
          </w:tcPr>
          <w:p>
            <w:pPr>
              <w:spacing w:after="0" w:before="0"/>
              <w:jc w:val="right"/>
            </w:pPr>
            <w:r>
              <w:rPr>
                <w:b/>
                <w:bCs/>
                <w:sz w:val="19"/>
                <w:szCs w:val="19"/>
              </w:rPr>
              <w:t xml:space="preserve">Impressions</w:t>
            </w:r>
          </w:p>
        </w:tc>
        <w:tc>
          <w:tcPr>
            <w:tcW w:type="dxa" w:w="1443"/>
            <w:shd w:fill="E8EEF4" w:color="auto" w:val="clear"/>
            <w:tcMar>
              <w:top w:type="dxa" w:w="60"/>
              <w:left w:type="dxa" w:w="100"/>
              <w:bottom w:type="dxa" w:w="60"/>
              <w:right w:type="dxa" w:w="100"/>
            </w:tcMar>
          </w:tcPr>
          <w:p>
            <w:pPr>
              <w:spacing w:after="0" w:before="0"/>
              <w:jc w:val="right"/>
            </w:pPr>
            <w:r>
              <w:rPr>
                <w:b/>
                <w:bCs/>
                <w:sz w:val="19"/>
                <w:szCs w:val="19"/>
              </w:rPr>
              <w:t xml:space="preserve">CTR</w:t>
            </w:r>
          </w:p>
        </w:tc>
        <w:tc>
          <w:tcPr>
            <w:tcW w:type="dxa" w:w="1534"/>
            <w:shd w:fill="E8EEF4" w:color="auto" w:val="clear"/>
            <w:tcMar>
              <w:top w:type="dxa" w:w="60"/>
              <w:left w:type="dxa" w:w="100"/>
              <w:bottom w:type="dxa" w:w="60"/>
              <w:right w:type="dxa" w:w="100"/>
            </w:tcMar>
          </w:tcPr>
          <w:p>
            <w:pPr>
              <w:spacing w:after="0" w:before="0"/>
              <w:jc w:val="right"/>
            </w:pPr>
            <w:r>
              <w:rPr>
                <w:b/>
                <w:bCs/>
                <w:sz w:val="19"/>
                <w:szCs w:val="19"/>
              </w:rPr>
              <w:t xml:space="preserve">Position</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Desktop</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14</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1,170</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1.20%</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34.9</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Mobile</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6</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328</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1.83%</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14.2</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Tablet</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2</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7.0</w:t>
            </w:r>
          </w:p>
        </w:tc>
      </w:tr>
    </w:tbl>
    <w:p>
      <w:pPr>
        <w:spacing w:after="120" w:before="120"/>
      </w:pPr>
      <w:r>
        <w:rPr>
          <w:sz w:val="21"/>
          <w:szCs w:val="21"/>
        </w:rPr>
        <w:t xml:space="preserve">Desktop accounts for 78% of impressions but ranks considerably deeper than mobile (34.9 vs 14.2). Mobile positions are more than twice as strong, which suggests desktop rankings are being held back on the long-tail informational pages. This is the opposite pattern to aarisepharma.com and is worth a template-level review.</w:t>
      </w:r>
    </w:p>
    <w:p>
      <w:pPr>
        <w:pStyle w:val="Heading1"/>
        <w:spacing w:after="140" w:before="320"/>
      </w:pPr>
      <w:r>
        <w:rPr>
          <w:b/>
          <w:bCs/>
          <w:color w:val="1F3864"/>
          <w:sz w:val="26"/>
          <w:szCs w:val="26"/>
        </w:rPr>
        <w:t xml:space="preserve">Top Countries (Search Console)</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2706"/>
        <w:gridCol w:w="1533"/>
        <w:gridCol w:w="1804"/>
        <w:gridCol w:w="1443"/>
        <w:gridCol w:w="1534"/>
      </w:tblGrid>
      <w:tr>
        <w:trPr>
          <w:tblHeader/>
        </w:trPr>
        <w:tc>
          <w:tcPr>
            <w:tcW w:type="dxa" w:w="2706"/>
            <w:shd w:fill="E8EEF4" w:color="auto" w:val="clear"/>
            <w:tcMar>
              <w:top w:type="dxa" w:w="60"/>
              <w:left w:type="dxa" w:w="100"/>
              <w:bottom w:type="dxa" w:w="60"/>
              <w:right w:type="dxa" w:w="100"/>
            </w:tcMar>
          </w:tcPr>
          <w:p>
            <w:pPr>
              <w:spacing w:after="0" w:before="0"/>
              <w:jc w:val="left"/>
            </w:pPr>
            <w:r>
              <w:rPr>
                <w:b/>
                <w:bCs/>
                <w:sz w:val="19"/>
                <w:szCs w:val="19"/>
              </w:rPr>
              <w:t xml:space="preserve">Country</w:t>
            </w:r>
          </w:p>
        </w:tc>
        <w:tc>
          <w:tcPr>
            <w:tcW w:type="dxa" w:w="1533"/>
            <w:shd w:fill="E8EEF4" w:color="auto" w:val="clear"/>
            <w:tcMar>
              <w:top w:type="dxa" w:w="60"/>
              <w:left w:type="dxa" w:w="100"/>
              <w:bottom w:type="dxa" w:w="60"/>
              <w:right w:type="dxa" w:w="100"/>
            </w:tcMar>
          </w:tcPr>
          <w:p>
            <w:pPr>
              <w:spacing w:after="0" w:before="0"/>
              <w:jc w:val="right"/>
            </w:pPr>
            <w:r>
              <w:rPr>
                <w:b/>
                <w:bCs/>
                <w:sz w:val="19"/>
                <w:szCs w:val="19"/>
              </w:rPr>
              <w:t xml:space="preserve">Clicks</w:t>
            </w:r>
          </w:p>
        </w:tc>
        <w:tc>
          <w:tcPr>
            <w:tcW w:type="dxa" w:w="1804"/>
            <w:shd w:fill="E8EEF4" w:color="auto" w:val="clear"/>
            <w:tcMar>
              <w:top w:type="dxa" w:w="60"/>
              <w:left w:type="dxa" w:w="100"/>
              <w:bottom w:type="dxa" w:w="60"/>
              <w:right w:type="dxa" w:w="100"/>
            </w:tcMar>
          </w:tcPr>
          <w:p>
            <w:pPr>
              <w:spacing w:after="0" w:before="0"/>
              <w:jc w:val="right"/>
            </w:pPr>
            <w:r>
              <w:rPr>
                <w:b/>
                <w:bCs/>
                <w:sz w:val="19"/>
                <w:szCs w:val="19"/>
              </w:rPr>
              <w:t xml:space="preserve">Impressions</w:t>
            </w:r>
          </w:p>
        </w:tc>
        <w:tc>
          <w:tcPr>
            <w:tcW w:type="dxa" w:w="1443"/>
            <w:shd w:fill="E8EEF4" w:color="auto" w:val="clear"/>
            <w:tcMar>
              <w:top w:type="dxa" w:w="60"/>
              <w:left w:type="dxa" w:w="100"/>
              <w:bottom w:type="dxa" w:w="60"/>
              <w:right w:type="dxa" w:w="100"/>
            </w:tcMar>
          </w:tcPr>
          <w:p>
            <w:pPr>
              <w:spacing w:after="0" w:before="0"/>
              <w:jc w:val="right"/>
            </w:pPr>
            <w:r>
              <w:rPr>
                <w:b/>
                <w:bCs/>
                <w:sz w:val="19"/>
                <w:szCs w:val="19"/>
              </w:rPr>
              <w:t xml:space="preserve">CTR</w:t>
            </w:r>
          </w:p>
        </w:tc>
        <w:tc>
          <w:tcPr>
            <w:tcW w:type="dxa" w:w="1534"/>
            <w:shd w:fill="E8EEF4" w:color="auto" w:val="clear"/>
            <w:tcMar>
              <w:top w:type="dxa" w:w="60"/>
              <w:left w:type="dxa" w:w="100"/>
              <w:bottom w:type="dxa" w:w="60"/>
              <w:right w:type="dxa" w:w="100"/>
            </w:tcMar>
          </w:tcPr>
          <w:p>
            <w:pPr>
              <w:spacing w:after="0" w:before="0"/>
              <w:jc w:val="right"/>
            </w:pPr>
            <w:r>
              <w:rPr>
                <w:b/>
                <w:bCs/>
                <w:sz w:val="19"/>
                <w:szCs w:val="19"/>
              </w:rPr>
              <w:t xml:space="preserve">Position</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United States</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8</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733</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1.09%</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34.2</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India</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7</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171</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4.09%</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19.0</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United Kingdom</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102</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0.98%</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46.6</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Sri Lanka</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8</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12.5%</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7.8</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China</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5</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20.0%</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47.8</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Poland</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2</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50.0%</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5.5</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Estonia</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100%</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5.0</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Germany</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46</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41.8</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Netherlands</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44</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24.0</w:t>
            </w:r>
          </w:p>
        </w:tc>
      </w:tr>
      <w:tr>
        <w:tc>
          <w:tcPr>
            <w:tcW w:type="dxa" w:w="2706"/>
            <w:tcMar>
              <w:top w:type="dxa" w:w="60"/>
              <w:left w:type="dxa" w:w="100"/>
              <w:bottom w:type="dxa" w:w="60"/>
              <w:right w:type="dxa" w:w="100"/>
            </w:tcMar>
          </w:tcPr>
          <w:p>
            <w:pPr>
              <w:spacing w:after="0" w:before="0"/>
              <w:jc w:val="left"/>
            </w:pPr>
            <w:r>
              <w:rPr>
                <w:b w:val="false"/>
                <w:bCs w:val="false"/>
                <w:sz w:val="19"/>
                <w:szCs w:val="19"/>
              </w:rPr>
              <w:t xml:space="preserve">Pakistan</w:t>
            </w:r>
          </w:p>
        </w:tc>
        <w:tc>
          <w:tcPr>
            <w:tcW w:type="dxa" w:w="153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804"/>
            <w:tcMar>
              <w:top w:type="dxa" w:w="60"/>
              <w:left w:type="dxa" w:w="100"/>
              <w:bottom w:type="dxa" w:w="60"/>
              <w:right w:type="dxa" w:w="100"/>
            </w:tcMar>
          </w:tcPr>
          <w:p>
            <w:pPr>
              <w:spacing w:after="0" w:before="0"/>
              <w:jc w:val="right"/>
            </w:pPr>
            <w:r>
              <w:rPr>
                <w:b w:val="false"/>
                <w:bCs w:val="false"/>
                <w:sz w:val="19"/>
                <w:szCs w:val="19"/>
              </w:rPr>
              <w:t xml:space="preserve">36</w:t>
            </w:r>
          </w:p>
        </w:tc>
        <w:tc>
          <w:tcPr>
            <w:tcW w:type="dxa" w:w="1443"/>
            <w:tcMar>
              <w:top w:type="dxa" w:w="60"/>
              <w:left w:type="dxa" w:w="100"/>
              <w:bottom w:type="dxa" w:w="60"/>
              <w:right w:type="dxa" w:w="100"/>
            </w:tcMar>
          </w:tcPr>
          <w:p>
            <w:pPr>
              <w:spacing w:after="0" w:before="0"/>
              <w:jc w:val="right"/>
            </w:pPr>
            <w:r>
              <w:rPr>
                <w:b w:val="false"/>
                <w:bCs w:val="false"/>
                <w:sz w:val="19"/>
                <w:szCs w:val="19"/>
              </w:rPr>
              <w:t xml:space="preserve">0%</w:t>
            </w:r>
          </w:p>
        </w:tc>
        <w:tc>
          <w:tcPr>
            <w:tcW w:type="dxa" w:w="1534"/>
            <w:tcMar>
              <w:top w:type="dxa" w:w="60"/>
              <w:left w:type="dxa" w:w="100"/>
              <w:bottom w:type="dxa" w:w="60"/>
              <w:right w:type="dxa" w:w="100"/>
            </w:tcMar>
          </w:tcPr>
          <w:p>
            <w:pPr>
              <w:spacing w:after="0" w:before="0"/>
              <w:jc w:val="right"/>
            </w:pPr>
            <w:r>
              <w:rPr>
                <w:b w:val="false"/>
                <w:bCs w:val="false"/>
                <w:sz w:val="19"/>
                <w:szCs w:val="19"/>
              </w:rPr>
              <w:t xml:space="preserve">8.5</w:t>
            </w:r>
          </w:p>
        </w:tc>
      </w:tr>
    </w:tbl>
    <w:p>
      <w:pPr>
        <w:spacing w:after="120" w:before="120"/>
      </w:pPr>
      <w:r>
        <w:rPr>
          <w:sz w:val="21"/>
          <w:szCs w:val="21"/>
        </w:rPr>
        <w:t xml:space="preserve">The United States is now the primary market by impressions (49% of total) with clicks up from 2 to 8. Pakistan shows an average position of 8.5 with 36 impressions and no clicks — a small but immediate CTR opportunity. European markets (Germany, Netherlands, UK) are accumulating impressions without clicks, consistent with deep positions rather than weak titles.</w:t>
      </w:r>
    </w:p>
    <w:p>
      <w:pPr>
        <w:pStyle w:val="Heading1"/>
        <w:spacing w:after="140" w:before="320"/>
      </w:pPr>
      <w:r>
        <w:rPr>
          <w:b/>
          <w:bCs/>
          <w:color w:val="1F3864"/>
          <w:sz w:val="26"/>
          <w:szCs w:val="26"/>
        </w:rPr>
        <w:t xml:space="preserve">Google Analytics — Overview</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5412"/>
        <w:gridCol w:w="3608"/>
      </w:tblGrid>
      <w:tr>
        <w:trPr>
          <w:tblHeader/>
        </w:trPr>
        <w:tc>
          <w:tcPr>
            <w:tcW w:type="dxa" w:w="5412"/>
            <w:shd w:fill="E8EEF4" w:color="auto" w:val="clear"/>
            <w:tcMar>
              <w:top w:type="dxa" w:w="60"/>
              <w:left w:type="dxa" w:w="100"/>
              <w:bottom w:type="dxa" w:w="60"/>
              <w:right w:type="dxa" w:w="100"/>
            </w:tcMar>
          </w:tcPr>
          <w:p>
            <w:pPr>
              <w:spacing w:after="0" w:before="0"/>
              <w:jc w:val="left"/>
            </w:pPr>
            <w:r>
              <w:rPr>
                <w:b/>
                <w:bCs/>
                <w:sz w:val="19"/>
                <w:szCs w:val="19"/>
              </w:rPr>
              <w:t xml:space="preserve">Metric</w:t>
            </w:r>
          </w:p>
        </w:tc>
        <w:tc>
          <w:tcPr>
            <w:tcW w:type="dxa" w:w="3608"/>
            <w:shd w:fill="E8EEF4" w:color="auto" w:val="clear"/>
            <w:tcMar>
              <w:top w:type="dxa" w:w="60"/>
              <w:left w:type="dxa" w:w="100"/>
              <w:bottom w:type="dxa" w:w="60"/>
              <w:right w:type="dxa" w:w="100"/>
            </w:tcMar>
          </w:tcPr>
          <w:p>
            <w:pPr>
              <w:spacing w:after="0" w:before="0"/>
              <w:jc w:val="right"/>
            </w:pPr>
            <w:r>
              <w:rPr>
                <w:b/>
                <w:bCs/>
                <w:sz w:val="19"/>
                <w:szCs w:val="19"/>
              </w:rPr>
              <w:t xml:space="preserve">Value</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Active Users</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232</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New Users</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216</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Sessions</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426</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Avg. Engagement Time</w:t>
            </w:r>
          </w:p>
        </w:tc>
        <w:tc>
          <w:tcPr>
            <w:tcW w:type="dxa" w:w="3608"/>
            <w:tcMar>
              <w:top w:type="dxa" w:w="60"/>
              <w:left w:type="dxa" w:w="100"/>
              <w:bottom w:type="dxa" w:w="60"/>
              <w:right w:type="dxa" w:w="100"/>
            </w:tcMar>
          </w:tcPr>
          <w:p>
            <w:pPr>
              <w:spacing w:after="0" w:before="0"/>
              <w:jc w:val="left"/>
            </w:pPr>
            <w:r>
              <w:rPr>
                <w:b w:val="false"/>
                <w:bCs w:val="false"/>
                <w:sz w:val="19"/>
                <w:szCs w:val="19"/>
              </w:rPr>
              <w:t xml:space="preserve">137.6 seconds</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Total Events</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3,870</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Checkout Page Views</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13</w:t>
            </w:r>
          </w:p>
        </w:tc>
      </w:tr>
    </w:tbl>
    <w:p>
      <w:pPr>
        <w:spacing w:after="120" w:before="120"/>
      </w:pPr>
      <w:r>
        <w:rPr>
          <w:sz w:val="21"/>
          <w:szCs w:val="21"/>
        </w:rPr>
        <w:t xml:space="preserve">The 137.6-second average engagement time is exceptional for an e-commerce catalogue and roughly eight times the figure on aarisepharma.com. Visitors who reach the site read product pages in depth. Thirteen checkout page views from 232 active users is a 5.6% checkout rate — high for a site at this stage, and further evidence that the bottleneck is discovery rather than conversion.</w:t>
      </w:r>
    </w:p>
    <w:p>
      <w:pPr>
        <w:pStyle w:val="Heading2"/>
        <w:spacing w:after="120" w:before="240"/>
      </w:pPr>
      <w:r>
        <w:rPr>
          <w:b/>
          <w:bCs/>
          <w:color w:val="2E5C8A"/>
          <w:sz w:val="23"/>
          <w:szCs w:val="23"/>
        </w:rPr>
        <w:t xml:space="preserve">Traffic Sources (GA4)</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5412"/>
        <w:gridCol w:w="3608"/>
      </w:tblGrid>
      <w:tr>
        <w:trPr>
          <w:tblHeader/>
        </w:trPr>
        <w:tc>
          <w:tcPr>
            <w:tcW w:type="dxa" w:w="5412"/>
            <w:shd w:fill="E8EEF4" w:color="auto" w:val="clear"/>
            <w:tcMar>
              <w:top w:type="dxa" w:w="60"/>
              <w:left w:type="dxa" w:w="100"/>
              <w:bottom w:type="dxa" w:w="60"/>
              <w:right w:type="dxa" w:w="100"/>
            </w:tcMar>
          </w:tcPr>
          <w:p>
            <w:pPr>
              <w:spacing w:after="0" w:before="0"/>
              <w:jc w:val="left"/>
            </w:pPr>
            <w:r>
              <w:rPr>
                <w:b/>
                <w:bCs/>
                <w:sz w:val="19"/>
                <w:szCs w:val="19"/>
              </w:rPr>
              <w:t xml:space="preserve">Source / Medium</w:t>
            </w:r>
          </w:p>
        </w:tc>
        <w:tc>
          <w:tcPr>
            <w:tcW w:type="dxa" w:w="3608"/>
            <w:shd w:fill="E8EEF4" w:color="auto" w:val="clear"/>
            <w:tcMar>
              <w:top w:type="dxa" w:w="60"/>
              <w:left w:type="dxa" w:w="100"/>
              <w:bottom w:type="dxa" w:w="60"/>
              <w:right w:type="dxa" w:w="100"/>
            </w:tcMar>
          </w:tcPr>
          <w:p>
            <w:pPr>
              <w:spacing w:after="0" w:before="0"/>
              <w:jc w:val="right"/>
            </w:pPr>
            <w:r>
              <w:rPr>
                <w:b/>
                <w:bCs/>
                <w:sz w:val="19"/>
                <w:szCs w:val="19"/>
              </w:rPr>
              <w:t xml:space="preserve">Sessions</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(direct) / (none)</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364</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google / organic</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26</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l.wl.co / referral</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16</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facebook.com / referral</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5</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bing / organic</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3</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buzzworldnews.com / referral</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2</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cdn.respond.io / referral</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2</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search.google.com / referral</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2</w:t>
            </w:r>
          </w:p>
        </w:tc>
      </w:tr>
      <w:tr>
        <w:tc>
          <w:tcPr>
            <w:tcW w:type="dxa" w:w="5412"/>
            <w:tcMar>
              <w:top w:type="dxa" w:w="60"/>
              <w:left w:type="dxa" w:w="100"/>
              <w:bottom w:type="dxa" w:w="60"/>
              <w:right w:type="dxa" w:w="100"/>
            </w:tcMar>
          </w:tcPr>
          <w:p>
            <w:pPr>
              <w:spacing w:after="0" w:before="0"/>
              <w:jc w:val="left"/>
            </w:pPr>
            <w:r>
              <w:rPr>
                <w:b w:val="false"/>
                <w:bCs w:val="false"/>
                <w:sz w:val="19"/>
                <w:szCs w:val="19"/>
              </w:rPr>
              <w:t xml:space="preserve">Other referrals (6 sources)</w:t>
            </w:r>
          </w:p>
        </w:tc>
        <w:tc>
          <w:tcPr>
            <w:tcW w:type="dxa" w:w="3608"/>
            <w:tcMar>
              <w:top w:type="dxa" w:w="60"/>
              <w:left w:type="dxa" w:w="100"/>
              <w:bottom w:type="dxa" w:w="60"/>
              <w:right w:type="dxa" w:w="100"/>
            </w:tcMar>
          </w:tcPr>
          <w:p>
            <w:pPr>
              <w:spacing w:after="0" w:before="0"/>
              <w:jc w:val="right"/>
            </w:pPr>
            <w:r>
              <w:rPr>
                <w:b w:val="false"/>
                <w:bCs w:val="false"/>
                <w:sz w:val="19"/>
                <w:szCs w:val="19"/>
              </w:rPr>
              <w:t xml:space="preserve">6</w:t>
            </w:r>
          </w:p>
        </w:tc>
      </w:tr>
    </w:tbl>
    <w:p>
      <w:pPr>
        <w:spacing w:after="120" w:before="120"/>
      </w:pPr>
      <w:r>
        <w:rPr>
          <w:sz w:val="21"/>
          <w:szCs w:val="21"/>
        </w:rPr>
        <w:t xml:space="preserve">Direct traffic dominates at 364 sessions. Organic search contributes 26 sessions, with a further 2 from Search Console referrals. Social and referral traffic remain minimal — as organic positions improve, the balance of this table should shift substantially.</w:t>
      </w:r>
    </w:p>
    <w:p>
      <w:pPr>
        <w:pStyle w:val="Heading2"/>
        <w:spacing w:after="120" w:before="240"/>
      </w:pPr>
      <w:r>
        <w:rPr>
          <w:b/>
          <w:bCs/>
          <w:color w:val="2E5C8A"/>
          <w:sz w:val="23"/>
          <w:szCs w:val="23"/>
        </w:rPr>
        <w:t xml:space="preserve">Top Pages (GA4)</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4149"/>
        <w:gridCol w:w="1624"/>
        <w:gridCol w:w="1624"/>
        <w:gridCol w:w="1623"/>
      </w:tblGrid>
      <w:tr>
        <w:trPr>
          <w:tblHeader/>
        </w:trPr>
        <w:tc>
          <w:tcPr>
            <w:tcW w:type="dxa" w:w="4149"/>
            <w:shd w:fill="E8EEF4" w:color="auto" w:val="clear"/>
            <w:tcMar>
              <w:top w:type="dxa" w:w="60"/>
              <w:left w:type="dxa" w:w="100"/>
              <w:bottom w:type="dxa" w:w="60"/>
              <w:right w:type="dxa" w:w="100"/>
            </w:tcMar>
          </w:tcPr>
          <w:p>
            <w:pPr>
              <w:spacing w:after="0" w:before="0"/>
              <w:jc w:val="left"/>
            </w:pPr>
            <w:r>
              <w:rPr>
                <w:b/>
                <w:bCs/>
                <w:sz w:val="19"/>
                <w:szCs w:val="19"/>
              </w:rPr>
              <w:t xml:space="preserve">Page</w:t>
            </w:r>
          </w:p>
        </w:tc>
        <w:tc>
          <w:tcPr>
            <w:tcW w:type="dxa" w:w="1624"/>
            <w:shd w:fill="E8EEF4" w:color="auto" w:val="clear"/>
            <w:tcMar>
              <w:top w:type="dxa" w:w="60"/>
              <w:left w:type="dxa" w:w="100"/>
              <w:bottom w:type="dxa" w:w="60"/>
              <w:right w:type="dxa" w:w="100"/>
            </w:tcMar>
          </w:tcPr>
          <w:p>
            <w:pPr>
              <w:spacing w:after="0" w:before="0"/>
              <w:jc w:val="right"/>
            </w:pPr>
            <w:r>
              <w:rPr>
                <w:b/>
                <w:bCs/>
                <w:sz w:val="19"/>
                <w:szCs w:val="19"/>
              </w:rPr>
              <w:t xml:space="preserve">Views</w:t>
            </w:r>
          </w:p>
        </w:tc>
        <w:tc>
          <w:tcPr>
            <w:tcW w:type="dxa" w:w="1624"/>
            <w:shd w:fill="E8EEF4" w:color="auto" w:val="clear"/>
            <w:tcMar>
              <w:top w:type="dxa" w:w="60"/>
              <w:left w:type="dxa" w:w="100"/>
              <w:bottom w:type="dxa" w:w="60"/>
              <w:right w:type="dxa" w:w="100"/>
            </w:tcMar>
          </w:tcPr>
          <w:p>
            <w:pPr>
              <w:spacing w:after="0" w:before="0"/>
              <w:jc w:val="right"/>
            </w:pPr>
            <w:r>
              <w:rPr>
                <w:b/>
                <w:bCs/>
                <w:sz w:val="19"/>
                <w:szCs w:val="19"/>
              </w:rPr>
              <w:t xml:space="preserve">Users</w:t>
            </w:r>
          </w:p>
        </w:tc>
        <w:tc>
          <w:tcPr>
            <w:tcW w:type="dxa" w:w="1623"/>
            <w:shd w:fill="E8EEF4" w:color="auto" w:val="clear"/>
            <w:tcMar>
              <w:top w:type="dxa" w:w="60"/>
              <w:left w:type="dxa" w:w="100"/>
              <w:bottom w:type="dxa" w:w="60"/>
              <w:right w:type="dxa" w:w="100"/>
            </w:tcMar>
          </w:tcPr>
          <w:p>
            <w:pPr>
              <w:spacing w:after="0" w:before="0"/>
              <w:jc w:val="right"/>
            </w:pPr>
            <w:r>
              <w:rPr>
                <w:b/>
                <w:bCs/>
                <w:sz w:val="19"/>
                <w:szCs w:val="19"/>
              </w:rPr>
              <w:t xml:space="preserve">Bounce Rate</w:t>
            </w:r>
          </w:p>
        </w:tc>
      </w:tr>
      <w:tr>
        <w:tc>
          <w:tcPr>
            <w:tcW w:type="dxa" w:w="4149"/>
            <w:tcMar>
              <w:top w:type="dxa" w:w="60"/>
              <w:left w:type="dxa" w:w="100"/>
              <w:bottom w:type="dxa" w:w="60"/>
              <w:right w:type="dxa" w:w="100"/>
            </w:tcMar>
          </w:tcPr>
          <w:p>
            <w:pPr>
              <w:spacing w:after="0" w:before="0"/>
              <w:jc w:val="left"/>
            </w:pPr>
            <w:r>
              <w:rPr>
                <w:b w:val="false"/>
                <w:bCs w:val="false"/>
                <w:sz w:val="19"/>
                <w:szCs w:val="19"/>
              </w:rPr>
              <w:t xml:space="preserve">Peptides</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253</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86</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21.1%</w:t>
            </w:r>
          </w:p>
        </w:tc>
      </w:tr>
      <w:tr>
        <w:tc>
          <w:tcPr>
            <w:tcW w:type="dxa" w:w="4149"/>
            <w:tcMar>
              <w:top w:type="dxa" w:w="60"/>
              <w:left w:type="dxa" w:w="100"/>
              <w:bottom w:type="dxa" w:w="60"/>
              <w:right w:type="dxa" w:w="100"/>
            </w:tcMar>
          </w:tcPr>
          <w:p>
            <w:pPr>
              <w:spacing w:after="0" w:before="0"/>
              <w:jc w:val="left"/>
            </w:pPr>
            <w:r>
              <w:rPr>
                <w:b w:val="false"/>
                <w:bCs w:val="false"/>
                <w:sz w:val="19"/>
                <w:szCs w:val="19"/>
              </w:rPr>
              <w:t xml:space="preserve">Steroids</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242</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74</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24.8%</w:t>
            </w:r>
          </w:p>
        </w:tc>
      </w:tr>
      <w:tr>
        <w:tc>
          <w:tcPr>
            <w:tcW w:type="dxa" w:w="4149"/>
            <w:tcMar>
              <w:top w:type="dxa" w:w="60"/>
              <w:left w:type="dxa" w:w="100"/>
              <w:bottom w:type="dxa" w:w="60"/>
              <w:right w:type="dxa" w:w="100"/>
            </w:tcMar>
          </w:tcPr>
          <w:p>
            <w:pPr>
              <w:spacing w:after="0" w:before="0"/>
              <w:jc w:val="left"/>
            </w:pPr>
            <w:r>
              <w:rPr>
                <w:b w:val="false"/>
                <w:bCs w:val="false"/>
                <w:sz w:val="19"/>
                <w:szCs w:val="19"/>
              </w:rPr>
              <w:t xml:space="preserve">Home</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172</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88</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30.7%</w:t>
            </w:r>
          </w:p>
        </w:tc>
      </w:tr>
      <w:tr>
        <w:tc>
          <w:tcPr>
            <w:tcW w:type="dxa" w:w="4149"/>
            <w:tcMar>
              <w:top w:type="dxa" w:w="60"/>
              <w:left w:type="dxa" w:w="100"/>
              <w:bottom w:type="dxa" w:w="60"/>
              <w:right w:type="dxa" w:w="100"/>
            </w:tcMar>
          </w:tcPr>
          <w:p>
            <w:pPr>
              <w:spacing w:after="0" w:before="0"/>
              <w:jc w:val="left"/>
            </w:pPr>
            <w:r>
              <w:rPr>
                <w:b w:val="false"/>
                <w:bCs w:val="false"/>
                <w:sz w:val="19"/>
                <w:szCs w:val="19"/>
              </w:rPr>
              <w:t xml:space="preserve">Shop</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158</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27</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20.0%</w:t>
            </w:r>
          </w:p>
        </w:tc>
      </w:tr>
      <w:tr>
        <w:tc>
          <w:tcPr>
            <w:tcW w:type="dxa" w:w="4149"/>
            <w:tcMar>
              <w:top w:type="dxa" w:w="60"/>
              <w:left w:type="dxa" w:w="100"/>
              <w:bottom w:type="dxa" w:w="60"/>
              <w:right w:type="dxa" w:w="100"/>
            </w:tcMar>
          </w:tcPr>
          <w:p>
            <w:pPr>
              <w:spacing w:after="0" w:before="0"/>
              <w:jc w:val="left"/>
            </w:pPr>
            <w:r>
              <w:rPr>
                <w:b w:val="false"/>
                <w:bCs w:val="false"/>
                <w:sz w:val="19"/>
                <w:szCs w:val="19"/>
              </w:rPr>
              <w:t xml:space="preserve">Hormones</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76</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43</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6.3%</w:t>
            </w:r>
          </w:p>
        </w:tc>
      </w:tr>
      <w:tr>
        <w:tc>
          <w:tcPr>
            <w:tcW w:type="dxa" w:w="4149"/>
            <w:tcMar>
              <w:top w:type="dxa" w:w="60"/>
              <w:left w:type="dxa" w:w="100"/>
              <w:bottom w:type="dxa" w:w="60"/>
              <w:right w:type="dxa" w:w="100"/>
            </w:tcMar>
          </w:tcPr>
          <w:p>
            <w:pPr>
              <w:spacing w:after="0" w:before="0"/>
              <w:jc w:val="left"/>
            </w:pPr>
            <w:r>
              <w:rPr>
                <w:b w:val="false"/>
                <w:bCs w:val="false"/>
                <w:sz w:val="19"/>
                <w:szCs w:val="19"/>
              </w:rPr>
              <w:t xml:space="preserve">Pharma</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75</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40</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37.1%</w:t>
            </w:r>
          </w:p>
        </w:tc>
      </w:tr>
      <w:tr>
        <w:tc>
          <w:tcPr>
            <w:tcW w:type="dxa" w:w="4149"/>
            <w:tcMar>
              <w:top w:type="dxa" w:w="60"/>
              <w:left w:type="dxa" w:w="100"/>
              <w:bottom w:type="dxa" w:w="60"/>
              <w:right w:type="dxa" w:w="100"/>
            </w:tcMar>
          </w:tcPr>
          <w:p>
            <w:pPr>
              <w:spacing w:after="0" w:before="0"/>
              <w:jc w:val="left"/>
            </w:pPr>
            <w:r>
              <w:rPr>
                <w:b w:val="false"/>
                <w:bCs w:val="false"/>
                <w:sz w:val="19"/>
                <w:szCs w:val="19"/>
              </w:rPr>
              <w:t xml:space="preserve">Hyaluronidase (Type II)</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22</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3</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87.0%</w:t>
            </w:r>
          </w:p>
        </w:tc>
      </w:tr>
      <w:tr>
        <w:tc>
          <w:tcPr>
            <w:tcW w:type="dxa" w:w="4149"/>
            <w:tcMar>
              <w:top w:type="dxa" w:w="60"/>
              <w:left w:type="dxa" w:w="100"/>
              <w:bottom w:type="dxa" w:w="60"/>
              <w:right w:type="dxa" w:w="100"/>
            </w:tcMar>
          </w:tcPr>
          <w:p>
            <w:pPr>
              <w:spacing w:after="0" w:before="0"/>
              <w:jc w:val="left"/>
            </w:pPr>
            <w:r>
              <w:rPr>
                <w:b w:val="false"/>
                <w:bCs w:val="false"/>
                <w:sz w:val="19"/>
                <w:szCs w:val="19"/>
              </w:rPr>
              <w:t xml:space="preserve">About Us</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19</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13</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6.3%</w:t>
            </w:r>
          </w:p>
        </w:tc>
      </w:tr>
      <w:tr>
        <w:tc>
          <w:tcPr>
            <w:tcW w:type="dxa" w:w="4149"/>
            <w:tcMar>
              <w:top w:type="dxa" w:w="60"/>
              <w:left w:type="dxa" w:w="100"/>
              <w:bottom w:type="dxa" w:w="60"/>
              <w:right w:type="dxa" w:w="100"/>
            </w:tcMar>
          </w:tcPr>
          <w:p>
            <w:pPr>
              <w:spacing w:after="0" w:before="0"/>
              <w:jc w:val="left"/>
            </w:pPr>
            <w:r>
              <w:rPr>
                <w:b w:val="false"/>
                <w:bCs w:val="false"/>
                <w:sz w:val="19"/>
                <w:szCs w:val="19"/>
              </w:rPr>
              <w:t xml:space="preserve">Tirzepatide</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17</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8</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28.6%</w:t>
            </w:r>
          </w:p>
        </w:tc>
      </w:tr>
      <w:tr>
        <w:tc>
          <w:tcPr>
            <w:tcW w:type="dxa" w:w="4149"/>
            <w:tcMar>
              <w:top w:type="dxa" w:w="60"/>
              <w:left w:type="dxa" w:w="100"/>
              <w:bottom w:type="dxa" w:w="60"/>
              <w:right w:type="dxa" w:w="100"/>
            </w:tcMar>
          </w:tcPr>
          <w:p>
            <w:pPr>
              <w:spacing w:after="0" w:before="0"/>
              <w:jc w:val="left"/>
            </w:pPr>
            <w:r>
              <w:rPr>
                <w:b w:val="false"/>
                <w:bCs w:val="false"/>
                <w:sz w:val="19"/>
                <w:szCs w:val="19"/>
              </w:rPr>
              <w:t xml:space="preserve">Supplements</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15</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10</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0%</w:t>
            </w:r>
          </w:p>
        </w:tc>
      </w:tr>
      <w:tr>
        <w:tc>
          <w:tcPr>
            <w:tcW w:type="dxa" w:w="4149"/>
            <w:tcMar>
              <w:top w:type="dxa" w:w="60"/>
              <w:left w:type="dxa" w:w="100"/>
              <w:bottom w:type="dxa" w:w="60"/>
              <w:right w:type="dxa" w:w="100"/>
            </w:tcMar>
          </w:tcPr>
          <w:p>
            <w:pPr>
              <w:spacing w:after="0" w:before="0"/>
              <w:jc w:val="left"/>
            </w:pPr>
            <w:r>
              <w:rPr>
                <w:b w:val="false"/>
                <w:bCs w:val="false"/>
                <w:sz w:val="19"/>
                <w:szCs w:val="19"/>
              </w:rPr>
              <w:t xml:space="preserve">Retatrutide</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14</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8</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10.0%</w:t>
            </w:r>
          </w:p>
        </w:tc>
      </w:tr>
      <w:tr>
        <w:tc>
          <w:tcPr>
            <w:tcW w:type="dxa" w:w="4149"/>
            <w:tcMar>
              <w:top w:type="dxa" w:w="60"/>
              <w:left w:type="dxa" w:w="100"/>
              <w:bottom w:type="dxa" w:w="60"/>
              <w:right w:type="dxa" w:w="100"/>
            </w:tcMar>
          </w:tcPr>
          <w:p>
            <w:pPr>
              <w:spacing w:after="0" w:before="0"/>
              <w:jc w:val="left"/>
            </w:pPr>
            <w:r>
              <w:rPr>
                <w:b w:val="false"/>
                <w:bCs w:val="false"/>
                <w:sz w:val="19"/>
                <w:szCs w:val="19"/>
              </w:rPr>
              <w:t xml:space="preserve">Checkout</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13</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11</w:t>
            </w:r>
          </w:p>
        </w:tc>
        <w:tc>
          <w:tcPr>
            <w:tcW w:type="dxa" w:w="1623"/>
            <w:tcMar>
              <w:top w:type="dxa" w:w="60"/>
              <w:left w:type="dxa" w:w="100"/>
              <w:bottom w:type="dxa" w:w="60"/>
              <w:right w:type="dxa" w:w="100"/>
            </w:tcMar>
          </w:tcPr>
          <w:p>
            <w:pPr>
              <w:spacing w:after="0" w:before="0"/>
              <w:jc w:val="right"/>
            </w:pPr>
            <w:r>
              <w:rPr>
                <w:b w:val="false"/>
                <w:bCs w:val="false"/>
                <w:sz w:val="19"/>
                <w:szCs w:val="19"/>
              </w:rPr>
              <w:t xml:space="preserve">16.7%</w:t>
            </w:r>
          </w:p>
        </w:tc>
      </w:tr>
    </w:tbl>
    <w:p>
      <w:pPr>
        <w:spacing w:after="120" w:before="120"/>
      </w:pPr>
      <w:r>
        <w:rPr>
          <w:sz w:val="21"/>
          <w:szCs w:val="21"/>
        </w:rPr>
        <w:t xml:space="preserve">Peptides (253 views) and Steroids (242 views) are the two strongest category pages, confirming where demand sits. The Hormones category has an unusually low 6.3% bounce rate, indicating highly engaged visitors. Hyaluronidase (Type II) stands out with an 87% bounce rate on 22 views and should be reviewed for content or pricing issues.</w:t>
      </w:r>
    </w:p>
    <w:p>
      <w:pPr>
        <w:pStyle w:val="Heading2"/>
        <w:spacing w:after="120" w:before="240"/>
      </w:pPr>
      <w:r>
        <w:rPr>
          <w:b/>
          <w:bCs/>
          <w:color w:val="2E5C8A"/>
          <w:sz w:val="23"/>
          <w:szCs w:val="23"/>
        </w:rPr>
        <w:t xml:space="preserve">Top Cities (GA4)</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5863"/>
        <w:gridCol w:w="3157"/>
      </w:tblGrid>
      <w:tr>
        <w:trPr>
          <w:tblHeader/>
        </w:trPr>
        <w:tc>
          <w:tcPr>
            <w:tcW w:type="dxa" w:w="5863"/>
            <w:shd w:fill="E8EEF4" w:color="auto" w:val="clear"/>
            <w:tcMar>
              <w:top w:type="dxa" w:w="60"/>
              <w:left w:type="dxa" w:w="100"/>
              <w:bottom w:type="dxa" w:w="60"/>
              <w:right w:type="dxa" w:w="100"/>
            </w:tcMar>
          </w:tcPr>
          <w:p>
            <w:pPr>
              <w:spacing w:after="0" w:before="0"/>
              <w:jc w:val="left"/>
            </w:pPr>
            <w:r>
              <w:rPr>
                <w:b/>
                <w:bCs/>
                <w:sz w:val="19"/>
                <w:szCs w:val="19"/>
              </w:rPr>
              <w:t xml:space="preserve">City</w:t>
            </w:r>
          </w:p>
        </w:tc>
        <w:tc>
          <w:tcPr>
            <w:tcW w:type="dxa" w:w="3157"/>
            <w:shd w:fill="E8EEF4" w:color="auto" w:val="clear"/>
            <w:tcMar>
              <w:top w:type="dxa" w:w="60"/>
              <w:left w:type="dxa" w:w="100"/>
              <w:bottom w:type="dxa" w:w="60"/>
              <w:right w:type="dxa" w:w="100"/>
            </w:tcMar>
          </w:tcPr>
          <w:p>
            <w:pPr>
              <w:spacing w:after="0" w:before="0"/>
              <w:jc w:val="right"/>
            </w:pPr>
            <w:r>
              <w:rPr>
                <w:b/>
                <w:bCs/>
                <w:sz w:val="19"/>
                <w:szCs w:val="19"/>
              </w:rPr>
              <w:t xml:space="preserve">Active Users</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Los Angeles</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7</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Pimpri-Chinchwad</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6</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Pune</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6</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Bengaluru</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5</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Ashburn</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4</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Chicago</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4</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Delhi</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4</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Urumqi</w:t>
            </w:r>
          </w:p>
        </w:tc>
        <w:tc>
          <w:tcPr>
            <w:tcW w:type="dxa" w:w="3157"/>
            <w:tcMar>
              <w:top w:type="dxa" w:w="60"/>
              <w:left w:type="dxa" w:w="100"/>
              <w:bottom w:type="dxa" w:w="60"/>
              <w:right w:type="dxa" w:w="100"/>
            </w:tcMar>
          </w:tcPr>
          <w:p>
            <w:pPr>
              <w:spacing w:after="0" w:before="0"/>
              <w:jc w:val="right"/>
            </w:pPr>
            <w:r>
              <w:rPr>
                <w:b w:val="false"/>
                <w:bCs w:val="false"/>
                <w:sz w:val="19"/>
                <w:szCs w:val="19"/>
              </w:rPr>
              <w:t xml:space="preserve">4</w:t>
            </w:r>
          </w:p>
        </w:tc>
      </w:tr>
      <w:tr>
        <w:tc>
          <w:tcPr>
            <w:tcW w:type="dxa" w:w="5863"/>
            <w:tcMar>
              <w:top w:type="dxa" w:w="60"/>
              <w:left w:type="dxa" w:w="100"/>
              <w:bottom w:type="dxa" w:w="60"/>
              <w:right w:type="dxa" w:w="100"/>
            </w:tcMar>
          </w:tcPr>
          <w:p>
            <w:pPr>
              <w:spacing w:after="0" w:before="0"/>
              <w:jc w:val="left"/>
            </w:pPr>
            <w:r>
              <w:rPr>
                <w:b w:val="false"/>
                <w:bCs w:val="false"/>
                <w:sz w:val="19"/>
                <w:szCs w:val="19"/>
              </w:rPr>
              <w:t xml:space="preserve">Bogota / Caracas / New York / Phoenix / San Francisco</w:t>
            </w:r>
          </w:p>
        </w:tc>
        <w:tc>
          <w:tcPr>
            <w:tcW w:type="dxa" w:w="3157"/>
            <w:tcMar>
              <w:top w:type="dxa" w:w="60"/>
              <w:left w:type="dxa" w:w="100"/>
              <w:bottom w:type="dxa" w:w="60"/>
              <w:right w:type="dxa" w:w="100"/>
            </w:tcMar>
          </w:tcPr>
          <w:p>
            <w:pPr>
              <w:spacing w:after="0" w:before="0"/>
              <w:jc w:val="left"/>
            </w:pPr>
            <w:r>
              <w:rPr>
                <w:b w:val="false"/>
                <w:bCs w:val="false"/>
                <w:sz w:val="19"/>
                <w:szCs w:val="19"/>
              </w:rPr>
              <w:t xml:space="preserve">3 each</w:t>
            </w:r>
          </w:p>
        </w:tc>
      </w:tr>
    </w:tbl>
    <w:p>
      <w:pPr>
        <w:spacing w:after="120" w:before="120"/>
      </w:pPr>
      <w:r>
        <w:rPr>
          <w:sz w:val="21"/>
          <w:szCs w:val="21"/>
        </w:rPr>
        <w:t xml:space="preserve">US cities lead the distribution, matching the Search Console picture. Latin American cities (Bogota, Caracas) continue to appear, supporting continued investment in the Spanish-language and country supplier guide content.</w:t>
      </w:r>
    </w:p>
    <w:p>
      <w:pPr>
        <w:pStyle w:val="Heading1"/>
        <w:spacing w:after="140" w:before="320"/>
      </w:pPr>
      <w:r>
        <w:rPr>
          <w:b/>
          <w:bCs/>
          <w:color w:val="1F3864"/>
          <w:sz w:val="26"/>
          <w:szCs w:val="26"/>
        </w:rPr>
        <w:t xml:space="preserve">Ranking Distribution (Search Console Queries)</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4510"/>
        <w:gridCol w:w="2255"/>
        <w:gridCol w:w="2255"/>
      </w:tblGrid>
      <w:tr>
        <w:trPr>
          <w:tblHeader/>
        </w:trPr>
        <w:tc>
          <w:tcPr>
            <w:tcW w:type="dxa" w:w="4510"/>
            <w:shd w:fill="E8EEF4" w:color="auto" w:val="clear"/>
            <w:tcMar>
              <w:top w:type="dxa" w:w="60"/>
              <w:left w:type="dxa" w:w="100"/>
              <w:bottom w:type="dxa" w:w="60"/>
              <w:right w:type="dxa" w:w="100"/>
            </w:tcMar>
          </w:tcPr>
          <w:p>
            <w:pPr>
              <w:spacing w:after="0" w:before="0"/>
              <w:jc w:val="left"/>
            </w:pPr>
            <w:r>
              <w:rPr>
                <w:b/>
                <w:bCs/>
                <w:sz w:val="19"/>
                <w:szCs w:val="19"/>
              </w:rPr>
              <w:t xml:space="preserve">Ranking</w:t>
            </w:r>
          </w:p>
        </w:tc>
        <w:tc>
          <w:tcPr>
            <w:tcW w:type="dxa" w:w="2255"/>
            <w:shd w:fill="E8EEF4" w:color="auto" w:val="clear"/>
            <w:tcMar>
              <w:top w:type="dxa" w:w="60"/>
              <w:left w:type="dxa" w:w="100"/>
              <w:bottom w:type="dxa" w:w="60"/>
              <w:right w:type="dxa" w:w="100"/>
            </w:tcMar>
          </w:tcPr>
          <w:p>
            <w:pPr>
              <w:spacing w:after="0" w:before="0"/>
              <w:jc w:val="right"/>
            </w:pPr>
            <w:r>
              <w:rPr>
                <w:b/>
                <w:bCs/>
                <w:sz w:val="19"/>
                <w:szCs w:val="19"/>
              </w:rPr>
              <w:t xml:space="preserve">Count</w:t>
            </w:r>
          </w:p>
        </w:tc>
        <w:tc>
          <w:tcPr>
            <w:tcW w:type="dxa" w:w="2255"/>
            <w:shd w:fill="E8EEF4" w:color="auto" w:val="clear"/>
            <w:tcMar>
              <w:top w:type="dxa" w:w="60"/>
              <w:left w:type="dxa" w:w="100"/>
              <w:bottom w:type="dxa" w:w="60"/>
              <w:right w:type="dxa" w:w="100"/>
            </w:tcMar>
          </w:tcPr>
          <w:p>
            <w:pPr>
              <w:spacing w:after="0" w:before="0"/>
              <w:jc w:val="right"/>
            </w:pPr>
            <w:r>
              <w:rPr>
                <w:b/>
                <w:bCs/>
                <w:sz w:val="19"/>
                <w:szCs w:val="19"/>
              </w:rPr>
              <w:t xml:space="preserve">% of Total</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Page 1 (Positions 1–10)</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6</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4%</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Page 2 (Positions 11–20)</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9</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6%</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Page 3 (Positions 21–30)</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6</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4%</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Page 4+ (Position 31+)</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142</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87%</w:t>
            </w:r>
          </w:p>
        </w:tc>
      </w:tr>
      <w:tr>
        <w:tc>
          <w:tcPr>
            <w:tcW w:type="dxa" w:w="4510"/>
            <w:tcMar>
              <w:top w:type="dxa" w:w="60"/>
              <w:left w:type="dxa" w:w="100"/>
              <w:bottom w:type="dxa" w:w="60"/>
              <w:right w:type="dxa" w:w="100"/>
            </w:tcMar>
          </w:tcPr>
          <w:p>
            <w:pPr>
              <w:spacing w:after="0" w:before="0"/>
              <w:jc w:val="left"/>
            </w:pPr>
            <w:r>
              <w:rPr>
                <w:b w:val="false"/>
                <w:bCs w:val="false"/>
                <w:sz w:val="19"/>
                <w:szCs w:val="19"/>
              </w:rPr>
              <w:t xml:space="preserve">TOTAL Queries with Impressions</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163</w:t>
            </w:r>
          </w:p>
        </w:tc>
        <w:tc>
          <w:tcPr>
            <w:tcW w:type="dxa" w:w="2255"/>
            <w:tcMar>
              <w:top w:type="dxa" w:w="60"/>
              <w:left w:type="dxa" w:w="100"/>
              <w:bottom w:type="dxa" w:w="60"/>
              <w:right w:type="dxa" w:w="100"/>
            </w:tcMar>
          </w:tcPr>
          <w:p>
            <w:pPr>
              <w:spacing w:after="0" w:before="0"/>
              <w:jc w:val="right"/>
            </w:pPr>
            <w:r>
              <w:rPr>
                <w:b w:val="false"/>
                <w:bCs w:val="false"/>
                <w:sz w:val="19"/>
                <w:szCs w:val="19"/>
              </w:rPr>
              <w:t xml:space="preserve">100%</w:t>
            </w:r>
          </w:p>
        </w:tc>
      </w:tr>
    </w:tbl>
    <w:p>
      <w:pPr>
        <w:spacing w:after="120" w:before="120"/>
      </w:pPr>
      <w:r>
        <w:rPr>
          <w:sz w:val="21"/>
          <w:szCs w:val="21"/>
        </w:rPr>
        <w:t xml:space="preserve">87% of ranking queries still sit on Page 4 or beyond, reflecting the site's early stage — much of the catalogue is being crawled for the first time. The 15 queries now on Pages 1–2 are the realistic near-term click sources and should receive the internal linking effort.</w:t>
      </w:r>
    </w:p>
    <w:p>
      <w:pPr>
        <w:pStyle w:val="Heading1"/>
        <w:spacing w:after="140" w:before="320"/>
      </w:pPr>
      <w:r>
        <w:rPr>
          <w:b/>
          <w:bCs/>
          <w:color w:val="1F3864"/>
          <w:sz w:val="26"/>
          <w:szCs w:val="26"/>
        </w:rPr>
        <w:t xml:space="preserve">Technical Work Completed This Period</w:t>
      </w:r>
    </w:p>
    <w:tbl>
      <w:tblPr>
        <w:tblW w:type="dxa" w:w="9020"/>
        <w:tblBorders>
          <w:top w:val="single" w:color="AAB7C4" w:sz="4"/>
          <w:left w:val="single" w:color="AAB7C4" w:sz="4"/>
          <w:bottom w:val="single" w:color="AAB7C4" w:sz="4"/>
          <w:right w:val="single" w:color="AAB7C4" w:sz="4"/>
          <w:insideH w:val="single" w:color="CCD5DD" w:sz="2"/>
          <w:insideV w:val="single" w:color="CCD5DD" w:sz="2"/>
        </w:tblBorders>
      </w:tblPr>
      <w:tblGrid>
        <w:gridCol w:w="3428"/>
        <w:gridCol w:w="1624"/>
        <w:gridCol w:w="3968"/>
      </w:tblGrid>
      <w:tr>
        <w:trPr>
          <w:tblHeader/>
        </w:trPr>
        <w:tc>
          <w:tcPr>
            <w:tcW w:type="dxa" w:w="3428"/>
            <w:shd w:fill="E8EEF4" w:color="auto" w:val="clear"/>
            <w:tcMar>
              <w:top w:type="dxa" w:w="60"/>
              <w:left w:type="dxa" w:w="100"/>
              <w:bottom w:type="dxa" w:w="60"/>
              <w:right w:type="dxa" w:w="100"/>
            </w:tcMar>
          </w:tcPr>
          <w:p>
            <w:pPr>
              <w:spacing w:after="0" w:before="0"/>
              <w:jc w:val="left"/>
            </w:pPr>
            <w:r>
              <w:rPr>
                <w:b/>
                <w:bCs/>
                <w:sz w:val="19"/>
                <w:szCs w:val="19"/>
              </w:rPr>
              <w:t xml:space="preserve">Fix</w:t>
            </w:r>
          </w:p>
        </w:tc>
        <w:tc>
          <w:tcPr>
            <w:tcW w:type="dxa" w:w="1624"/>
            <w:shd w:fill="E8EEF4" w:color="auto" w:val="clear"/>
            <w:tcMar>
              <w:top w:type="dxa" w:w="60"/>
              <w:left w:type="dxa" w:w="100"/>
              <w:bottom w:type="dxa" w:w="60"/>
              <w:right w:type="dxa" w:w="100"/>
            </w:tcMar>
          </w:tcPr>
          <w:p>
            <w:pPr>
              <w:spacing w:after="0" w:before="0"/>
              <w:jc w:val="right"/>
            </w:pPr>
            <w:r>
              <w:rPr>
                <w:b/>
                <w:bCs/>
                <w:sz w:val="19"/>
                <w:szCs w:val="19"/>
              </w:rPr>
              <w:t xml:space="preserve">Pages Affected</w:t>
            </w:r>
          </w:p>
        </w:tc>
        <w:tc>
          <w:tcPr>
            <w:tcW w:type="dxa" w:w="3968"/>
            <w:shd w:fill="E8EEF4" w:color="auto" w:val="clear"/>
            <w:tcMar>
              <w:top w:type="dxa" w:w="60"/>
              <w:left w:type="dxa" w:w="100"/>
              <w:bottom w:type="dxa" w:w="60"/>
              <w:right w:type="dxa" w:w="100"/>
            </w:tcMar>
          </w:tcPr>
          <w:p>
            <w:pPr>
              <w:spacing w:after="0" w:before="0"/>
              <w:jc w:val="right"/>
            </w:pPr>
            <w:r>
              <w:rPr>
                <w:b/>
                <w:bCs/>
                <w:sz w:val="19"/>
                <w:szCs w:val="19"/>
              </w:rPr>
              <w:t xml:space="preserve">Impact</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Duplicate pages noindexed ("-2" suffix)</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286</w:t>
            </w:r>
          </w:p>
        </w:tc>
        <w:tc>
          <w:tcPr>
            <w:tcW w:type="dxa" w:w="3968"/>
            <w:tcMar>
              <w:top w:type="dxa" w:w="60"/>
              <w:left w:type="dxa" w:w="100"/>
              <w:bottom w:type="dxa" w:w="60"/>
              <w:right w:type="dxa" w:w="100"/>
            </w:tcMar>
          </w:tcPr>
          <w:p>
            <w:pPr>
              <w:spacing w:after="0" w:before="0"/>
              <w:jc w:val="left"/>
            </w:pPr>
            <w:r>
              <w:rPr>
                <w:b w:val="false"/>
                <w:bCs w:val="false"/>
                <w:sz w:val="19"/>
                <w:szCs w:val="19"/>
              </w:rPr>
              <w:t xml:space="preserve">Consolidates ranking signals to canonical pages</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Meta descriptions added (posts)</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91</w:t>
            </w:r>
          </w:p>
        </w:tc>
        <w:tc>
          <w:tcPr>
            <w:tcW w:type="dxa" w:w="3968"/>
            <w:tcMar>
              <w:top w:type="dxa" w:w="60"/>
              <w:left w:type="dxa" w:w="100"/>
              <w:bottom w:type="dxa" w:w="60"/>
              <w:right w:type="dxa" w:w="100"/>
            </w:tcMar>
          </w:tcPr>
          <w:p>
            <w:pPr>
              <w:spacing w:after="0" w:before="0"/>
              <w:jc w:val="left"/>
            </w:pPr>
            <w:r>
              <w:rPr>
                <w:b w:val="false"/>
                <w:bCs w:val="false"/>
                <w:sz w:val="19"/>
                <w:szCs w:val="19"/>
              </w:rPr>
              <w:t xml:space="preserve">Improves CTR and snippet quality</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Meta descriptions added (product pages)</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293</w:t>
            </w:r>
          </w:p>
        </w:tc>
        <w:tc>
          <w:tcPr>
            <w:tcW w:type="dxa" w:w="3968"/>
            <w:tcMar>
              <w:top w:type="dxa" w:w="60"/>
              <w:left w:type="dxa" w:w="100"/>
              <w:bottom w:type="dxa" w:w="60"/>
              <w:right w:type="dxa" w:w="100"/>
            </w:tcMar>
          </w:tcPr>
          <w:p>
            <w:pPr>
              <w:spacing w:after="0" w:before="0"/>
              <w:jc w:val="left"/>
            </w:pPr>
            <w:r>
              <w:rPr>
                <w:b w:val="false"/>
                <w:bCs w:val="false"/>
                <w:sz w:val="19"/>
                <w:szCs w:val="19"/>
              </w:rPr>
              <w:t xml:space="preserve">Unique keyword-targeted copy per product</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FAQ schema added (supplier posts)</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42</w:t>
            </w:r>
          </w:p>
        </w:tc>
        <w:tc>
          <w:tcPr>
            <w:tcW w:type="dxa" w:w="3968"/>
            <w:tcMar>
              <w:top w:type="dxa" w:w="60"/>
              <w:left w:type="dxa" w:w="100"/>
              <w:bottom w:type="dxa" w:w="60"/>
              <w:right w:type="dxa" w:w="100"/>
            </w:tcMar>
          </w:tcPr>
          <w:p>
            <w:pPr>
              <w:spacing w:after="0" w:before="0"/>
              <w:jc w:val="left"/>
            </w:pPr>
            <w:r>
              <w:rPr>
                <w:b w:val="false"/>
                <w:bCs w:val="false"/>
                <w:sz w:val="19"/>
                <w:szCs w:val="19"/>
              </w:rPr>
              <w:t xml:space="preserve">Google AI Overview eligibility</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Country pages fully rewritten</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4</w:t>
            </w:r>
          </w:p>
        </w:tc>
        <w:tc>
          <w:tcPr>
            <w:tcW w:type="dxa" w:w="3968"/>
            <w:tcMar>
              <w:top w:type="dxa" w:w="60"/>
              <w:left w:type="dxa" w:w="100"/>
              <w:bottom w:type="dxa" w:w="60"/>
              <w:right w:type="dxa" w:w="100"/>
            </w:tcMar>
          </w:tcPr>
          <w:p>
            <w:pPr>
              <w:spacing w:after="0" w:before="0"/>
              <w:jc w:val="left"/>
            </w:pPr>
            <w:r>
              <w:rPr>
                <w:b w:val="false"/>
                <w:bCs w:val="false"/>
                <w:sz w:val="19"/>
                <w:szCs w:val="19"/>
              </w:rPr>
              <w:t xml:space="preserve">Paraguay, Peru, Mexico, US — expanded to 800+ words</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WooCommerce system pages noindexed</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5</w:t>
            </w:r>
          </w:p>
        </w:tc>
        <w:tc>
          <w:tcPr>
            <w:tcW w:type="dxa" w:w="3968"/>
            <w:tcMar>
              <w:top w:type="dxa" w:w="60"/>
              <w:left w:type="dxa" w:w="100"/>
              <w:bottom w:type="dxa" w:w="60"/>
              <w:right w:type="dxa" w:w="100"/>
            </w:tcMar>
          </w:tcPr>
          <w:p>
            <w:pPr>
              <w:spacing w:after="0" w:before="0"/>
              <w:jc w:val="left"/>
            </w:pPr>
            <w:r>
              <w:rPr>
                <w:b w:val="false"/>
                <w:bCs w:val="false"/>
                <w:sz w:val="19"/>
                <w:szCs w:val="19"/>
              </w:rPr>
              <w:t xml:space="preserve">Crawl budget reclaimed</w:t>
            </w:r>
          </w:p>
        </w:tc>
      </w:tr>
      <w:tr>
        <w:tc>
          <w:tcPr>
            <w:tcW w:type="dxa" w:w="3428"/>
            <w:tcMar>
              <w:top w:type="dxa" w:w="60"/>
              <w:left w:type="dxa" w:w="100"/>
              <w:bottom w:type="dxa" w:w="60"/>
              <w:right w:type="dxa" w:w="100"/>
            </w:tcMar>
          </w:tcPr>
          <w:p>
            <w:pPr>
              <w:spacing w:after="0" w:before="0"/>
              <w:jc w:val="left"/>
            </w:pPr>
            <w:r>
              <w:rPr>
                <w:b w:val="false"/>
                <w:bCs w:val="false"/>
                <w:sz w:val="19"/>
                <w:szCs w:val="19"/>
              </w:rPr>
              <w:t xml:space="preserve">llms.txt published</w:t>
            </w:r>
          </w:p>
        </w:tc>
        <w:tc>
          <w:tcPr>
            <w:tcW w:type="dxa" w:w="1624"/>
            <w:tcMar>
              <w:top w:type="dxa" w:w="60"/>
              <w:left w:type="dxa" w:w="100"/>
              <w:bottom w:type="dxa" w:w="60"/>
              <w:right w:type="dxa" w:w="100"/>
            </w:tcMar>
          </w:tcPr>
          <w:p>
            <w:pPr>
              <w:spacing w:after="0" w:before="0"/>
              <w:jc w:val="right"/>
            </w:pPr>
            <w:r>
              <w:rPr>
                <w:b w:val="false"/>
                <w:bCs w:val="false"/>
                <w:sz w:val="19"/>
                <w:szCs w:val="19"/>
              </w:rPr>
              <w:t xml:space="preserve">1</w:t>
            </w:r>
          </w:p>
        </w:tc>
        <w:tc>
          <w:tcPr>
            <w:tcW w:type="dxa" w:w="3968"/>
            <w:tcMar>
              <w:top w:type="dxa" w:w="60"/>
              <w:left w:type="dxa" w:w="100"/>
              <w:bottom w:type="dxa" w:w="60"/>
              <w:right w:type="dxa" w:w="100"/>
            </w:tcMar>
          </w:tcPr>
          <w:p>
            <w:pPr>
              <w:spacing w:after="0" w:before="0"/>
              <w:jc w:val="left"/>
            </w:pPr>
            <w:r>
              <w:rPr>
                <w:b w:val="false"/>
                <w:bCs w:val="false"/>
                <w:sz w:val="19"/>
                <w:szCs w:val="19"/>
              </w:rPr>
              <w:t xml:space="preserve">AI search visibility — live at /llms.txt</w:t>
            </w:r>
          </w:p>
        </w:tc>
      </w:tr>
    </w:tbl>
    <w:p>
      <w:pPr>
        <w:spacing w:after="120" w:before="120"/>
      </w:pPr>
      <w:r>
        <w:rPr>
          <w:sz w:val="21"/>
          <w:szCs w:val="21"/>
        </w:rPr>
        <w:t xml:space="preserve">The 13.6-position improvement in average position is the direct measurable result of this work. Because Google has not yet re-crawled every updated page, part of the benefit is still pending and should surface over the next reporting period.</w:t>
      </w:r>
    </w:p>
    <w:p>
      <w:pPr>
        <w:pStyle w:val="Heading1"/>
        <w:spacing w:after="140" w:before="320"/>
      </w:pPr>
      <w:r>
        <w:rPr>
          <w:b/>
          <w:bCs/>
          <w:color w:val="1F3864"/>
          <w:sz w:val="26"/>
          <w:szCs w:val="26"/>
        </w:rPr>
        <w:t xml:space="preserve">Target Keyword Strategy</w:t>
      </w:r>
    </w:p>
    <w:p>
      <w:pPr>
        <w:spacing w:after="120" w:before="120"/>
      </w:pPr>
      <w:r>
        <w:rPr>
          <w:sz w:val="21"/>
          <w:szCs w:val="21"/>
        </w:rPr>
        <w:t xml:space="preserve">The campaign targets six core research compound clusters:</w:t>
      </w:r>
    </w:p>
    <w:p>
      <w:pPr>
        <w:pStyle w:val="ListParagraph"/>
        <w:numPr>
          <w:ilvl w:val="0"/>
          <w:numId w:val="2"/>
        </w:numPr>
        <w:spacing w:after="60" w:before="60"/>
      </w:pPr>
      <w:r>
        <w:rPr>
          <w:sz w:val="21"/>
          <w:szCs w:val="21"/>
        </w:rPr>
        <w:t xml:space="preserve">Core commercial terms — research compounds, compounds for research, research compound supplier</w:t>
      </w:r>
    </w:p>
    <w:p>
      <w:pPr>
        <w:pStyle w:val="ListParagraph"/>
        <w:numPr>
          <w:ilvl w:val="0"/>
          <w:numId w:val="2"/>
        </w:numPr>
        <w:spacing w:after="60" w:before="60"/>
      </w:pPr>
      <w:r>
        <w:rPr>
          <w:sz w:val="21"/>
          <w:szCs w:val="21"/>
        </w:rPr>
        <w:t xml:space="preserve">Peptides — BPC-157, semaglutide, tirzepatide, retatrutide, CJC-1295, follistatin-344, IGF-1 LR3, selank</w:t>
      </w:r>
    </w:p>
    <w:p>
      <w:pPr>
        <w:pStyle w:val="ListParagraph"/>
        <w:numPr>
          <w:ilvl w:val="0"/>
          <w:numId w:val="2"/>
        </w:numPr>
        <w:spacing w:after="60" w:before="60"/>
      </w:pPr>
      <w:r>
        <w:rPr>
          <w:sz w:val="21"/>
          <w:szCs w:val="21"/>
        </w:rPr>
        <w:t xml:space="preserve">Steroids and hormones — boldenone undecylenate, testosterone esters, human growth hormone</w:t>
      </w:r>
    </w:p>
    <w:p>
      <w:pPr>
        <w:pStyle w:val="ListParagraph"/>
        <w:numPr>
          <w:ilvl w:val="0"/>
          <w:numId w:val="2"/>
        </w:numPr>
        <w:spacing w:after="60" w:before="60"/>
      </w:pPr>
      <w:r>
        <w:rPr>
          <w:sz w:val="21"/>
          <w:szCs w:val="21"/>
        </w:rPr>
        <w:t xml:space="preserve">Purity and quality — COA reports, purity verification, research-grade vs pharmaceutical-grade</w:t>
      </w:r>
    </w:p>
    <w:p>
      <w:pPr>
        <w:pStyle w:val="ListParagraph"/>
        <w:numPr>
          <w:ilvl w:val="0"/>
          <w:numId w:val="2"/>
        </w:numPr>
        <w:spacing w:after="60" w:before="60"/>
      </w:pPr>
      <w:r>
        <w:rPr>
          <w:sz w:val="21"/>
          <w:szCs w:val="21"/>
        </w:rPr>
        <w:t xml:space="preserve">Country supplier guides — US, Mexico, Paraguay, Peru</w:t>
      </w:r>
    </w:p>
    <w:p>
      <w:pPr>
        <w:pStyle w:val="ListParagraph"/>
        <w:numPr>
          <w:ilvl w:val="0"/>
          <w:numId w:val="2"/>
        </w:numPr>
        <w:spacing w:after="60" w:before="60"/>
      </w:pPr>
      <w:r>
        <w:rPr>
          <w:sz w:val="21"/>
          <w:szCs w:val="21"/>
        </w:rPr>
        <w:t xml:space="preserve">Handling and logistics — storage guidelines, international shipping and regulations</w:t>
      </w:r>
    </w:p>
    <w:p>
      <w:pPr>
        <w:pStyle w:val="Heading1"/>
        <w:spacing w:after="140" w:before="320"/>
      </w:pPr>
      <w:r>
        <w:rPr>
          <w:b/>
          <w:bCs/>
          <w:color w:val="1F3864"/>
          <w:sz w:val="26"/>
          <w:szCs w:val="26"/>
        </w:rPr>
        <w:t xml:space="preserve">Summary &amp; Recommendations</w:t>
      </w:r>
    </w:p>
    <w:p>
      <w:pPr>
        <w:spacing w:after="80" w:before="160"/>
      </w:pPr>
      <w:r>
        <w:rPr>
          <w:b/>
          <w:bCs/>
          <w:sz w:val="21"/>
          <w:szCs w:val="21"/>
        </w:rPr>
        <w:t xml:space="preserve">Key Takeaways:</w:t>
      </w:r>
    </w:p>
    <w:p>
      <w:pPr>
        <w:pStyle w:val="ListParagraph"/>
        <w:numPr>
          <w:ilvl w:val="0"/>
          <w:numId w:val="2"/>
        </w:numPr>
        <w:spacing w:after="60" w:before="60"/>
      </w:pPr>
      <w:r>
        <w:rPr>
          <w:sz w:val="21"/>
          <w:szCs w:val="21"/>
        </w:rPr>
        <w:t xml:space="preserve">Average position improved from 44.0 to 30.4 — a 13.6-place gain, the largest to date.</w:t>
      </w:r>
    </w:p>
    <w:p>
      <w:pPr>
        <w:pStyle w:val="ListParagraph"/>
        <w:numPr>
          <w:ilvl w:val="0"/>
          <w:numId w:val="2"/>
        </w:numPr>
        <w:spacing w:after="60" w:before="60"/>
      </w:pPr>
      <w:r>
        <w:rPr>
          <w:sz w:val="21"/>
          <w:szCs w:val="21"/>
        </w:rPr>
        <w:t xml:space="preserve">1,500 impressions (+44%) and 20 clicks (+54%) month-on-month.</w:t>
      </w:r>
    </w:p>
    <w:p>
      <w:pPr>
        <w:pStyle w:val="ListParagraph"/>
        <w:numPr>
          <w:ilvl w:val="0"/>
          <w:numId w:val="2"/>
        </w:numPr>
        <w:spacing w:after="60" w:before="60"/>
      </w:pPr>
      <w:r>
        <w:rPr>
          <w:sz w:val="21"/>
          <w:szCs w:val="21"/>
        </w:rPr>
        <w:t xml:space="preserve">"Research compounds" moved from position 40.8 to 15.3 with impressions up from 21 to 179.</w:t>
      </w:r>
    </w:p>
    <w:p>
      <w:pPr>
        <w:pStyle w:val="ListParagraph"/>
        <w:numPr>
          <w:ilvl w:val="0"/>
          <w:numId w:val="2"/>
        </w:numPr>
        <w:spacing w:after="60" w:before="60"/>
      </w:pPr>
      <w:r>
        <w:rPr>
          <w:sz w:val="21"/>
          <w:szCs w:val="21"/>
        </w:rPr>
        <w:t xml:space="preserve">Three keywords reached Page 1: research compound (7.8), aarise (9.6), coa report (7.0).</w:t>
      </w:r>
    </w:p>
    <w:p>
      <w:pPr>
        <w:pStyle w:val="ListParagraph"/>
        <w:numPr>
          <w:ilvl w:val="0"/>
          <w:numId w:val="2"/>
        </w:numPr>
        <w:spacing w:after="60" w:before="60"/>
      </w:pPr>
      <w:r>
        <w:rPr>
          <w:sz w:val="21"/>
          <w:szCs w:val="21"/>
        </w:rPr>
        <w:t xml:space="preserve">232 active users with 137.6-second average engagement — roughly 8x aarisepharma.com.</w:t>
      </w:r>
    </w:p>
    <w:p>
      <w:pPr>
        <w:pStyle w:val="ListParagraph"/>
        <w:numPr>
          <w:ilvl w:val="0"/>
          <w:numId w:val="2"/>
        </w:numPr>
        <w:spacing w:after="60" w:before="60"/>
      </w:pPr>
      <w:r>
        <w:rPr>
          <w:sz w:val="21"/>
          <w:szCs w:val="21"/>
        </w:rPr>
        <w:t xml:space="preserve">13 checkout page views from 232 users — a 5.6% checkout rate.</w:t>
      </w:r>
    </w:p>
    <w:p>
      <w:pPr>
        <w:pStyle w:val="ListParagraph"/>
        <w:numPr>
          <w:ilvl w:val="0"/>
          <w:numId w:val="2"/>
        </w:numPr>
        <w:spacing w:after="60" w:before="60"/>
      </w:pPr>
      <w:r>
        <w:rPr>
          <w:sz w:val="21"/>
          <w:szCs w:val="21"/>
        </w:rPr>
        <w:t xml:space="preserve">286 duplicate pages noindexed and 384 meta descriptions added during the period.</w:t>
      </w:r>
    </w:p>
    <w:p>
      <w:pPr>
        <w:pStyle w:val="ListParagraph"/>
        <w:numPr>
          <w:ilvl w:val="0"/>
          <w:numId w:val="2"/>
        </w:numPr>
        <w:spacing w:after="60" w:before="60"/>
      </w:pPr>
      <w:r>
        <w:rPr>
          <w:sz w:val="21"/>
          <w:szCs w:val="21"/>
        </w:rPr>
        <w:t xml:space="preserve">87% of ranking queries remain on Page 4 or deeper — discovery is the constraint.</w:t>
      </w:r>
    </w:p>
    <w:p>
      <w:pPr>
        <w:spacing w:after="80" w:before="160"/>
      </w:pPr>
      <w:r>
        <w:rPr>
          <w:b/>
          <w:bCs/>
          <w:sz w:val="21"/>
          <w:szCs w:val="21"/>
        </w:rPr>
        <w:t xml:space="preserve">Recommendations:</w:t>
      </w:r>
    </w:p>
    <w:p>
      <w:pPr>
        <w:pStyle w:val="ListParagraph"/>
        <w:numPr>
          <w:ilvl w:val="0"/>
          <w:numId w:val="2"/>
        </w:numPr>
        <w:spacing w:after="60" w:before="60"/>
      </w:pPr>
      <w:r>
        <w:rPr>
          <w:sz w:val="21"/>
          <w:szCs w:val="21"/>
        </w:rPr>
        <w:t xml:space="preserve">Publish a dedicated, well-structured guide targeting "research compounds" with FAQ schema — at position 15.3 on 179 impressions this is the highest-leverage single action available.</w:t>
      </w:r>
    </w:p>
    <w:p>
      <w:pPr>
        <w:pStyle w:val="ListParagraph"/>
        <w:numPr>
          <w:ilvl w:val="0"/>
          <w:numId w:val="2"/>
        </w:numPr>
        <w:spacing w:after="60" w:before="60"/>
      </w:pPr>
      <w:r>
        <w:rPr>
          <w:sz w:val="21"/>
          <w:szCs w:val="21"/>
        </w:rPr>
        <w:t xml:space="preserve">Build an internal link cluster to "compounds for research" (12.6) and the Cathelicidin LL-37 product page (12.7) — both are just below Page 1.</w:t>
      </w:r>
    </w:p>
    <w:p>
      <w:pPr>
        <w:pStyle w:val="ListParagraph"/>
        <w:numPr>
          <w:ilvl w:val="0"/>
          <w:numId w:val="2"/>
        </w:numPr>
        <w:spacing w:after="60" w:before="60"/>
      </w:pPr>
      <w:r>
        <w:rPr>
          <w:sz w:val="21"/>
          <w:szCs w:val="21"/>
        </w:rPr>
        <w:t xml:space="preserve">Push the purity guide from position 19.9 onto Page 1 — it already holds 372 impressions, a quarter of all site impressions.</w:t>
      </w:r>
    </w:p>
    <w:p>
      <w:pPr>
        <w:pStyle w:val="ListParagraph"/>
        <w:numPr>
          <w:ilvl w:val="0"/>
          <w:numId w:val="2"/>
        </w:numPr>
        <w:spacing w:after="60" w:before="60"/>
      </w:pPr>
      <w:r>
        <w:rPr>
          <w:sz w:val="21"/>
          <w:szCs w:val="21"/>
        </w:rPr>
        <w:t xml:space="preserve">Request re-indexing in GSC URL Inspection for the four rewritten country pages and resubmit the sitemap.</w:t>
      </w:r>
    </w:p>
    <w:p>
      <w:pPr>
        <w:pStyle w:val="ListParagraph"/>
        <w:numPr>
          <w:ilvl w:val="0"/>
          <w:numId w:val="2"/>
        </w:numPr>
        <w:spacing w:after="60" w:before="60"/>
      </w:pPr>
      <w:r>
        <w:rPr>
          <w:sz w:val="21"/>
          <w:szCs w:val="21"/>
        </w:rPr>
        <w:t xml:space="preserve">Investigate the desktop vs mobile position gap (34.9 vs 14.2) — likely a template or content-parity issue.</w:t>
      </w:r>
    </w:p>
    <w:p>
      <w:pPr>
        <w:pStyle w:val="ListParagraph"/>
        <w:numPr>
          <w:ilvl w:val="0"/>
          <w:numId w:val="2"/>
        </w:numPr>
        <w:spacing w:after="60" w:before="60"/>
      </w:pPr>
      <w:r>
        <w:rPr>
          <w:sz w:val="21"/>
          <w:szCs w:val="21"/>
        </w:rPr>
        <w:t xml:space="preserve">Add Product schema to individual product pages for rich snippet eligibility.</w:t>
      </w:r>
    </w:p>
    <w:p>
      <w:pPr>
        <w:pStyle w:val="ListParagraph"/>
        <w:numPr>
          <w:ilvl w:val="0"/>
          <w:numId w:val="2"/>
        </w:numPr>
        <w:spacing w:after="60" w:before="60"/>
      </w:pPr>
      <w:r>
        <w:rPr>
          <w:sz w:val="21"/>
          <w:szCs w:val="21"/>
        </w:rPr>
        <w:t xml:space="preserve">Rewrite product page titles so WooCommerce template text ("select options") no longer surfaces in indexed strings.</w:t>
      </w:r>
    </w:p>
    <w:p>
      <w:pPr>
        <w:pStyle w:val="ListParagraph"/>
        <w:numPr>
          <w:ilvl w:val="0"/>
          <w:numId w:val="2"/>
        </w:numPr>
        <w:spacing w:after="60" w:before="60"/>
      </w:pPr>
      <w:r>
        <w:rPr>
          <w:sz w:val="21"/>
          <w:szCs w:val="21"/>
        </w:rPr>
        <w:t xml:space="preserve">Review the Hyaluronidase (Type II) page — 87% bounce rate on 22 views.</w:t>
      </w:r>
    </w:p>
    <w:p>
      <w:pPr>
        <w:pStyle w:val="ListParagraph"/>
        <w:numPr>
          <w:ilvl w:val="0"/>
          <w:numId w:val="2"/>
        </w:numPr>
        <w:spacing w:after="60" w:before="60"/>
      </w:pPr>
      <w:r>
        <w:rPr>
          <w:sz w:val="21"/>
          <w:szCs w:val="21"/>
        </w:rPr>
        <w:t xml:space="preserve">Continue internal linking from blog posts to high-value product pages (Tirzepatide, Semaglutide, BPC-157, Follistatin-344).</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Aarise Monthly SEO Report · June 20 – July 23, 2026 · Page </w:t>
    </w:r>
    <w:r>
      <w:rPr>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2026-07-23T13:11:03.378Z</dcterms:created>
  <dcterms:modified xsi:type="dcterms:W3CDTF">2026-07-23T13:11:03.378Z</dcterms:modified>
</cp:coreProperties>
</file>

<file path=docProps/custom.xml><?xml version="1.0" encoding="utf-8"?>
<Properties xmlns="http://schemas.openxmlformats.org/officeDocument/2006/custom-properties" xmlns:vt="http://schemas.openxmlformats.org/officeDocument/2006/docPropsVTypes"/>
</file>