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jc w:val="left"/>
      </w:pPr>
      <w:r>
        <w:rPr>
          <w:rFonts w:ascii="Calibri" w:hAnsi="Calibri"/>
          <w:b/>
          <w:color w:val="1F4E79"/>
          <w:sz w:val="48"/>
        </w:rPr>
        <w:t>POLICYCITE-RAG</w:t>
      </w:r>
    </w:p>
    <w:p>
      <w:pPr>
        <w:spacing w:after="40"/>
      </w:pPr>
      <w:r>
        <w:rPr>
          <w:rFonts w:ascii="Calibri" w:hAnsi="Calibri"/>
          <w:b/>
          <w:color w:val="006F73"/>
          <w:sz w:val="25"/>
        </w:rPr>
        <w:t>Verifiable generative AI for healthcare payment policy</w:t>
      </w:r>
    </w:p>
    <w:p>
      <w:pPr>
        <w:spacing w:after="180"/>
      </w:pPr>
      <w:r>
        <w:rPr>
          <w:rFonts w:ascii="Calibri" w:hAnsi="Calibri"/>
          <w:color w:val="586370"/>
          <w:sz w:val="19"/>
        </w:rPr>
        <w:t>Strategic research report | Aanya Lari | July 2026</w:t>
      </w:r>
    </w:p>
    <w:p>
      <w:pPr>
        <w:pStyle w:val="Heading1"/>
      </w:pPr>
      <w:r>
        <w:t>Concept, problem, and impact</w:t>
      </w:r>
    </w:p>
    <w:p>
      <w:pPr>
        <w:keepNext w:val="0"/>
        <w:widowControl/>
      </w:pPr>
      <w:r>
        <w:rPr>
          <w:rFonts w:ascii="Calibri" w:hAnsi="Calibri"/>
          <w:color w:val="18222C"/>
          <w:sz w:val="22"/>
        </w:rPr>
        <w:t>Healthcare payment operations depend on policies that encode filing limits, claim formats, prior-authorization duties, exceptions, and effective dates. Retrieval-augmented generation (RAG) makes that material easier to search by supplying external documents to a language model. Yet retrieval is not verification: a cited page may be topically relevant without supporting a specific deadline, exclusion, or scope. In payment-policy work, one missing qualifier can misdirect a claim, appeal, or authorization workflow. Research confirms that this is a system-level problem rather than a cosmetic citation issue. The ALCE benchmark found that even its strongest systems lacked complete citation support half of the time on long-form ELI5 answers, while a broad RAG benchmark found persistent weaknesses in negative rejection, information integration, and resistance to false retrieved content (Gao et al., 2023; Chen et al., 2023). The operational impact is therefore dual: unverified AI creates audit and compliance exposure, while overly cautious systems may withhold useful answers and erase productivity gains.</w:t>
      </w:r>
    </w:p>
    <w:p>
      <w:pPr>
        <w:pStyle w:val="Heading1"/>
      </w:pPr>
      <w:r>
        <w:t>Current research directions: methods and open gaps</w:t>
      </w:r>
    </w:p>
    <w:p>
      <w:pPr>
        <w:widowControl/>
      </w:pPr>
      <w:r>
        <w:rPr>
          <w:rFonts w:ascii="Calibri" w:hAnsi="Calibri"/>
          <w:b/>
          <w:color w:val="1F4E79"/>
          <w:sz w:val="22"/>
        </w:rPr>
        <w:t xml:space="preserve">Multi-pass citation attribution. </w:t>
      </w:r>
      <w:r>
        <w:rPr>
          <w:rFonts w:ascii="Calibri" w:hAnsi="Calibri"/>
          <w:color w:val="18222C"/>
          <w:sz w:val="22"/>
        </w:rPr>
        <w:t>MedCite separates answer generation from statement-level re-retrieval and citation assignment, then evaluates citation precision and recall with professional-expert validation (Wang et al., 2025). This directly matches policy review, where every material statement needs inspectable evidence. Its opportunity is defensible provenance; its loophole is that high citation scores do not establish that a source is current, controlling, or correctly interpreted.</w:t>
      </w:r>
    </w:p>
    <w:p>
      <w:pPr>
        <w:widowControl/>
      </w:pPr>
      <w:r>
        <w:rPr>
          <w:rFonts w:ascii="Calibri" w:hAnsi="Calibri"/>
          <w:b/>
          <w:color w:val="1F4E79"/>
          <w:sz w:val="22"/>
        </w:rPr>
        <w:t xml:space="preserve">Adaptive self-reflection. </w:t>
      </w:r>
      <w:r>
        <w:rPr>
          <w:rFonts w:ascii="Calibri" w:hAnsi="Calibri"/>
          <w:color w:val="18222C"/>
          <w:sz w:val="22"/>
        </w:rPr>
        <w:t>Self-RAG trains a model to decide when to retrieve and to critique whether its own text is grounded and useful (Asai et al., 2024). Adaptive retrieval can reduce unnecessary calls and support abstention. However, the generator and critic may share blind spots, and specialized training raises cost, governance, and reproducibility concerns for a changing policy corpus.</w:t>
      </w:r>
    </w:p>
    <w:p>
      <w:pPr>
        <w:widowControl/>
      </w:pPr>
      <w:r>
        <w:rPr>
          <w:rFonts w:ascii="Calibri" w:hAnsi="Calibri"/>
          <w:b/>
          <w:color w:val="1F4E79"/>
          <w:sz w:val="22"/>
        </w:rPr>
        <w:t xml:space="preserve">Corrective retrieval. </w:t>
      </w:r>
      <w:r>
        <w:rPr>
          <w:rFonts w:ascii="Calibri" w:hAnsi="Calibri"/>
          <w:color w:val="18222C"/>
          <w:sz w:val="22"/>
        </w:rPr>
        <w:t>CRAG scores retrieval quality, triggers corrective actions when evidence is weak, and decomposes documents to filter irrelevant text (Yan et al., 2024). A policy-safe version could retry across versioned internal sources or escalate to a reviewer. CRAG's public-web fallback is a threat in regulated workflows because authority, effective dates, and access controls can be lost even when relevance improves.</w:t>
      </w:r>
    </w:p>
    <w:p>
      <w:pPr>
        <w:widowControl/>
      </w:pPr>
      <w:r>
        <w:rPr>
          <w:rFonts w:ascii="Calibri" w:hAnsi="Calibri"/>
          <w:b/>
          <w:color w:val="1F4E79"/>
          <w:sz w:val="22"/>
        </w:rPr>
        <w:t xml:space="preserve">Post-generation research and revision. </w:t>
      </w:r>
      <w:r>
        <w:rPr>
          <w:rFonts w:ascii="Calibri" w:hAnsi="Calibri"/>
          <w:color w:val="18222C"/>
          <w:sz w:val="22"/>
        </w:rPr>
        <w:t>RARR searches for evidence and minimally edits unsupported model output (Gao et al., 2023). This creates an attractive quality-control layer for policy summaries, but an automatic rewrite can conceal the original failure or introduce a new one. Cotiviti would need immutable before-and-after traces, reviewer approval, and explicit rules for partial support.</w:t>
      </w:r>
    </w:p>
    <w:p>
      <w:r>
        <w:br w:type="page"/>
      </w:r>
    </w:p>
    <w:p>
      <w:pPr>
        <w:pStyle w:val="Heading1"/>
      </w:pPr>
      <w:r>
        <w:t>Proof of concept and measured results</w:t>
      </w:r>
    </w:p>
    <w:p>
      <w:pPr>
        <w:keepNext w:val="0"/>
        <w:widowControl/>
      </w:pPr>
      <w:r>
        <w:rPr>
          <w:rFonts w:ascii="Calibri" w:hAnsi="Calibri"/>
          <w:color w:val="18222C"/>
          <w:sz w:val="22"/>
        </w:rPr>
        <w:t>PolicyCite-RAG is a bounded adaptation of these ideas to three public Centers for Medicare &amp; Medicaid Services documents and ten frozen policy questions. The prototype preserves the FastAPI/Streamlit baseline, records generation context, extracts factual statements, re-retrieves evidence, applies a separate local attribution model, and returns exact excerpts or a human-review flag. In the provenance-fixed run, it raised citation precision from 74.4% (32/43) to 100% (18/18) and citation F1 from 81.7% to 86.5%, while coverage fell from 90.5% to 76.2% and median latency rose 3.69 seconds. After correction guardrails, a separately signed run reached 100% citation precision and coverage and retained all required claims in 9/10 answers for both conditions; PolicyCite used 18 citations rather than 24 with only 0.15 seconds median overhead. These small, human-labeled results show feasibility and the precision-coverage tradeoff, not production effectiveness.</w:t>
      </w:r>
    </w:p>
    <w:p>
      <w:pPr>
        <w:pStyle w:val="Heading1"/>
      </w:pPr>
      <w:r>
        <w:t>Strategic investment options for Cotiviti</w:t>
      </w:r>
    </w:p>
    <w:p>
      <w:pPr>
        <w:keepLines/>
        <w:widowControl/>
      </w:pPr>
      <w:r>
        <w:rPr>
          <w:rFonts w:ascii="Calibri" w:hAnsi="Calibri"/>
          <w:b/>
          <w:color w:val="1F4E79"/>
          <w:sz w:val="22"/>
        </w:rPr>
        <w:t xml:space="preserve">1. Build a versioned policy-evidence service. </w:t>
      </w:r>
      <w:r>
        <w:rPr>
          <w:rFonts w:ascii="Calibri" w:hAnsi="Calibri"/>
          <w:color w:val="18222C"/>
          <w:sz w:val="22"/>
        </w:rPr>
        <w:t>Combine MedCite-style statement attribution with a CRAG-style retrieval gate, but restrict correction to approved, effective-dated sources. Store the statement, evidence, policy version, retrieval score, model decision, reviewer decision, and timestamp. This reusable service could support policy research, coding-content quality control, and change summaries without granting the model authority to interpret policy autonomously.</w:t>
      </w:r>
    </w:p>
    <w:p>
      <w:pPr>
        <w:keepLines/>
        <w:widowControl/>
      </w:pPr>
      <w:r>
        <w:rPr>
          <w:rFonts w:ascii="Calibri" w:hAnsi="Calibri"/>
          <w:b/>
          <w:color w:val="1F4E79"/>
          <w:sz w:val="22"/>
        </w:rPr>
        <w:t xml:space="preserve">2. Pilot reviewer-in-the-loop content assurance. </w:t>
      </w:r>
      <w:r>
        <w:rPr>
          <w:rFonts w:ascii="Calibri" w:hAnsi="Calibri"/>
          <w:color w:val="18222C"/>
          <w:sz w:val="22"/>
        </w:rPr>
        <w:t>Use RARR's research-and-revise pattern to flag or propose repairs for unsupported sentences, while preserving the original text and requiring expert approval. Measure time to verify, corrections caught, reviewer agreement, and downstream rework. General professional-writing evidence reports 40% less completion time and 18% higher quality with generative AI, but that study was not healthcare-policy work; Cotiviti should treat those figures as a hypothesis to test, not an ROI promise (Noy &amp; Zhang, 2023).</w:t>
      </w:r>
    </w:p>
    <w:p>
      <w:pPr>
        <w:keepLines/>
        <w:widowControl/>
      </w:pPr>
      <w:r>
        <w:rPr>
          <w:rFonts w:ascii="Calibri" w:hAnsi="Calibri"/>
          <w:b/>
          <w:color w:val="1F4E79"/>
          <w:sz w:val="22"/>
        </w:rPr>
        <w:t xml:space="preserve">3. Invest in a policy-specific evaluation moat. </w:t>
      </w:r>
      <w:r>
        <w:rPr>
          <w:rFonts w:ascii="Calibri" w:hAnsi="Calibri"/>
          <w:color w:val="18222C"/>
          <w:sz w:val="22"/>
        </w:rPr>
        <w:t>Extend ALCE and MedCite metrics with qualifier preservation, unsupported-premise rejection, source authority, effective-date correctness, and expert disagreement. MedRAG improved medical QA accuracy by up to 18% across tested models and found that combining corpora and retrievers worked best, suggesting that disciplined retrieval experimentation can matter materially (Xiong et al., 2024). Cotiviti's advantage would be a governed benchmark tied to real payment-policy failure modes.</w:t>
      </w:r>
    </w:p>
    <w:p>
      <w:pPr>
        <w:pStyle w:val="Heading1"/>
      </w:pPr>
      <w:r>
        <w:t>Recommended position</w:t>
      </w:r>
    </w:p>
    <w:p>
      <w:pPr>
        <w:keepNext w:val="0"/>
        <w:widowControl/>
      </w:pPr>
      <w:r>
        <w:rPr>
          <w:rFonts w:ascii="Calibri" w:hAnsi="Calibri"/>
          <w:color w:val="18222C"/>
          <w:sz w:val="22"/>
        </w:rPr>
        <w:t>Proceed with a narrow, reviewer-in-the-loop pilot in one versioned policy domain. Fund the evidence service and evaluation harness first; treat adaptive retrieval and automated revision as controlled experiments behind audit logging. Advance only if the pilot demonstrates high citation precision, acceptable expert agreement, preserved qualifiers, manageable latency, and measured reviewer time savings. This position captures the value suggested by RAG and productivity research while containing the authority, staleness, model-circularity, and workflow risks that the literature leaves unresolved.</w:t>
      </w:r>
    </w:p>
    <w:p>
      <w:r>
        <w:br w:type="page"/>
      </w:r>
    </w:p>
    <w:p>
      <w:pPr>
        <w:spacing w:before="40" w:after="40"/>
      </w:pPr>
      <w:r>
        <w:rPr>
          <w:rFonts w:ascii="Calibri" w:hAnsi="Calibri"/>
          <w:b/>
          <w:color w:val="1F4E79"/>
          <w:sz w:val="40"/>
        </w:rPr>
        <w:t>REFERENCES</w:t>
      </w:r>
    </w:p>
    <w:p>
      <w:pPr>
        <w:spacing w:after="200"/>
      </w:pPr>
      <w:r>
        <w:rPr>
          <w:rFonts w:ascii="Calibri" w:hAnsi="Calibri"/>
          <w:color w:val="586370"/>
          <w:sz w:val="19"/>
        </w:rPr>
        <w:t>APA 7th edition</w:t>
      </w:r>
    </w:p>
    <w:p>
      <w:pPr>
        <w:pStyle w:val="References"/>
      </w:pPr>
      <w:r>
        <w:rPr>
          <w:rFonts w:ascii="Calibri" w:hAnsi="Calibri"/>
          <w:color w:val="18222C"/>
          <w:sz w:val="19"/>
        </w:rPr>
        <w:t>Asai, A., Wu, Z., Wang, Y., Sil, A., &amp; Hajishirzi, H. (2024). Self-RAG: Learning to retrieve, generate, and critique through self-reflection. In The Twelfth International Conference on Learning Representations. https://openreview.net/forum?id=hSyW5go0v8</w:t>
      </w:r>
    </w:p>
    <w:p>
      <w:pPr>
        <w:pStyle w:val="References"/>
      </w:pPr>
      <w:r>
        <w:rPr>
          <w:rFonts w:ascii="Calibri" w:hAnsi="Calibri"/>
          <w:color w:val="18222C"/>
          <w:sz w:val="19"/>
        </w:rPr>
        <w:t>Centers for Medicare &amp; Medicaid Services. (2024, January 17). CMS interoperability and prior authorization final rule CMS-0057-F: Fact sheet. U.S. Department of Health and Human Services. https://www.cms.gov/newsroom/fact-sheets/cms-interoperability-and-prior-authorization-final-rule-cms-0057-f</w:t>
      </w:r>
    </w:p>
    <w:p>
      <w:pPr>
        <w:pStyle w:val="References"/>
      </w:pPr>
      <w:r>
        <w:rPr>
          <w:rFonts w:ascii="Calibri" w:hAnsi="Calibri"/>
          <w:color w:val="18222C"/>
          <w:sz w:val="19"/>
        </w:rPr>
        <w:t>Chen, J., Lin, H., Han, X., &amp; Sun, L. (2023). Benchmarking large language models in retrieval-augmented generation. arXiv. https://doi.org/10.48550/arXiv.2309.01431</w:t>
      </w:r>
    </w:p>
    <w:p>
      <w:pPr>
        <w:pStyle w:val="References"/>
      </w:pPr>
      <w:r>
        <w:rPr>
          <w:rFonts w:ascii="Calibri" w:hAnsi="Calibri"/>
          <w:color w:val="18222C"/>
          <w:sz w:val="19"/>
        </w:rPr>
        <w:t>Gao, L., Dai, Z., Pasupat, P., Chen, A., Chaganty, A. T., Fan, Y., Zhao, V., Lao, N., Lee, H., Juan, D.-C., &amp; Guu, K. (2023). RARR: Researching and revising what language models say, using language models. Proceedings of the 61st Annual Meeting of the Association for Computational Linguistics, 16477-16508. https://doi.org/10.18653/v1/2023.acl-long.910</w:t>
      </w:r>
    </w:p>
    <w:p>
      <w:pPr>
        <w:pStyle w:val="References"/>
      </w:pPr>
      <w:r>
        <w:rPr>
          <w:rFonts w:ascii="Calibri" w:hAnsi="Calibri"/>
          <w:color w:val="18222C"/>
          <w:sz w:val="19"/>
        </w:rPr>
        <w:t>Gao, T., Yen, H., Yu, J., &amp; Chen, D. (2023). Enabling large language models to generate text with citations. Proceedings of the 2023 Conference on Empirical Methods in Natural Language Processing, 6465-6488. https://doi.org/10.18653/v1/2023.emnlp-main.398</w:t>
      </w:r>
    </w:p>
    <w:p>
      <w:pPr>
        <w:pStyle w:val="References"/>
      </w:pPr>
      <w:r>
        <w:rPr>
          <w:rFonts w:ascii="Calibri" w:hAnsi="Calibri"/>
          <w:color w:val="18222C"/>
          <w:sz w:val="19"/>
        </w:rPr>
        <w:t>Noy, S., &amp; Zhang, W. (2023). Experimental evidence on the productivity effects of generative artificial intelligence. Science, 381(6654), 187-192. https://doi.org/10.1126/science.adh2586</w:t>
      </w:r>
    </w:p>
    <w:p>
      <w:pPr>
        <w:pStyle w:val="References"/>
      </w:pPr>
      <w:r>
        <w:rPr>
          <w:rFonts w:ascii="Calibri" w:hAnsi="Calibri"/>
          <w:color w:val="18222C"/>
          <w:sz w:val="19"/>
        </w:rPr>
        <w:t>Wang, X., Tan, M., Jin, Q., Xiong, G., Hu, Y., Zhang, A., Lu, Z., &amp; Zhang, M. (2025). MedCite: Can language models generate verifiable text for medicine? Findings of the Association for Computational Linguistics: ACL 2025, 18891-18913. https://doi.org/10.18653/v1/2025.findings-acl.967</w:t>
      </w:r>
    </w:p>
    <w:p>
      <w:pPr>
        <w:pStyle w:val="References"/>
      </w:pPr>
      <w:r>
        <w:rPr>
          <w:rFonts w:ascii="Calibri" w:hAnsi="Calibri"/>
          <w:color w:val="18222C"/>
          <w:sz w:val="19"/>
        </w:rPr>
        <w:t>Xiong, G., Jin, Q., Lu, Z., &amp; Zhang, A. (2024). Benchmarking retrieval-augmented generation for medicine. arXiv. https://doi.org/10.48550/arXiv.2402.13178</w:t>
      </w:r>
    </w:p>
    <w:p>
      <w:pPr>
        <w:pStyle w:val="References"/>
      </w:pPr>
      <w:r>
        <w:rPr>
          <w:rFonts w:ascii="Calibri" w:hAnsi="Calibri"/>
          <w:color w:val="18222C"/>
          <w:sz w:val="19"/>
        </w:rPr>
        <w:t>Yan, S.-Q., Gu, J.-C., Zhu, Y., &amp; Ling, Z.-H. (2024). Corrective retrieval augmented generation. arXiv. https://doi.org/10.48550/arXiv.2401.15884</w:t>
      </w:r>
    </w:p>
    <w:p>
      <w:pPr>
        <w:spacing w:before="160" w:after="0"/>
      </w:pPr>
      <w:r>
        <w:rPr>
          <w:rFonts w:ascii="Calibri" w:hAnsi="Calibri"/>
          <w:b/>
          <w:color w:val="1F4E79"/>
          <w:sz w:val="22"/>
        </w:rPr>
        <w:t>Prototype evidence</w:t>
      </w:r>
    </w:p>
    <w:p>
      <w:pPr>
        <w:pStyle w:val="References"/>
      </w:pPr>
      <w:r>
        <w:rPr>
          <w:rFonts w:ascii="Calibri" w:hAnsi="Calibri"/>
          <w:color w:val="18222C"/>
          <w:sz w:val="19"/>
        </w:rPr>
        <w:t>PolicyCite-RAG source code, frozen questions, human-labeling guide, per-question traces, and timestamped evaluation results are included in the accompanying repository.</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Calibri" w:hAnsi="Calibri"/>
        <w:color w:val="586370"/>
        <w:sz w:val="18"/>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color w:val="18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widowControl/>
      <w:spacing w:before="0" w:after="80" w:line="240" w:lineRule="auto"/>
      <w:ind w:left="504" w:hanging="504"/>
    </w:pPr>
    <w:rPr>
      <w:rFonts w:ascii="Calibri" w:hAnsi="Calibri"/>
      <w:color w:val="18222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PolicyCite-RAG: Verifiable Generative AI for Healthcare Payment Policy</dc:title>
  <dc:subject>Cotiviti strategic research report</dc:subject>
  <dc:creator>Aanya Lari</dc:creator>
  <cp:keywords>PolicyCite-RAG, healthcare payment policy, retrieval-augmented generation, citation verification</cp:keywords>
  <dc:description>Revised July 2026; APA-style citations and bibliography.</dc:description>
  <cp:lastModifiedBy/>
  <cp:revision>1</cp:revision>
  <dcterms:created xsi:type="dcterms:W3CDTF">2013-12-23T23:15:00Z</dcterms:created>
  <dcterms:modified xsi:type="dcterms:W3CDTF">2013-12-23T23:15:00Z</dcterms:modified>
  <cp:category/>
</cp:coreProperties>
</file>