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</w:pPr>
      <w:r>
        <w:rPr>
          <w:rFonts w:ascii="Calibri" w:hAnsi="Calibri"/>
          <w:b/>
          <w:i w:val="0"/>
          <w:color w:val="1F4E79"/>
          <w:sz w:val="48"/>
        </w:rPr>
        <w:t>PolicyCite-RAG</w:t>
      </w:r>
    </w:p>
    <w:p>
      <w:pPr>
        <w:spacing w:after="160"/>
      </w:pPr>
      <w:r>
        <w:rPr>
          <w:rFonts w:ascii="Calibri" w:hAnsi="Calibri"/>
          <w:b/>
          <w:i w:val="0"/>
          <w:color w:val="142033"/>
          <w:sz w:val="28"/>
        </w:rPr>
        <w:t>Verifiable Generative AI for Healthcare Payment Policy</w:t>
      </w:r>
    </w:p>
    <w:p>
      <w:pPr>
        <w:spacing w:after="160"/>
      </w:pPr>
      <w:r>
        <w:rPr>
          <w:rFonts w:ascii="Calibri" w:hAnsi="Calibri"/>
          <w:b w:val="0"/>
          <w:i w:val="0"/>
          <w:color w:val="5B6674"/>
          <w:sz w:val="19"/>
        </w:rPr>
        <w:t>Topic 3: Content Management in Health Care  |  July 2026</w:t>
      </w:r>
    </w:p>
    <w:p>
      <w:pPr>
        <w:pStyle w:val="Heading1"/>
        <w:spacing w:before="160" w:after="80"/>
      </w:pPr>
      <w:r>
        <w:rPr>
          <w:rFonts w:ascii="Calibri" w:hAnsi="Calibri"/>
          <w:b/>
          <w:i w:val="0"/>
          <w:color w:val="1F4E79"/>
          <w:sz w:val="28"/>
        </w:rPr>
        <w:t>Concept and industry trend</w:t>
      </w:r>
    </w:p>
    <w:p>
      <w:pPr>
        <w:spacing w:after="120" w:line="259" w:lineRule="auto"/>
      </w:pPr>
      <w:r>
        <w:rPr>
          <w:rFonts w:ascii="Calibri" w:hAnsi="Calibri"/>
          <w:b w:val="0"/>
          <w:i w:val="0"/>
          <w:color w:val="142033"/>
          <w:sz w:val="22"/>
        </w:rPr>
        <w:t>Healthcare payment operations depend on policies that define claim formats, filing limits, prior-authorization obligations, and payer-provider workflows. Generative AI can make this content easier to search and summarize, but a fluent answer with a document list is not necessarily verifiable. A page may be relevant to the question while failing to support a particular date, exclusion, or requirement. In payment-policy work, that gap can turn a convenient assistant into an audit and governance risk.</w:t>
      </w:r>
    </w:p>
    <w:p>
      <w:pPr>
        <w:spacing w:after="120" w:line="259" w:lineRule="auto"/>
      </w:pPr>
      <w:r>
        <w:rPr>
          <w:rFonts w:ascii="Calibri" w:hAnsi="Calibri"/>
          <w:b w:val="0"/>
          <w:i w:val="0"/>
          <w:color w:val="142033"/>
          <w:sz w:val="22"/>
        </w:rPr>
        <w:t>Retrieval-augmented generation (RAG) reduces unsupported generation by supplying external documents to a language model. The emerging research trend is finer-grained attribution: each generated statement is connected to evidence that a reviewer can inspect. MedCite demonstrates this direction for biomedical question answering through RAG, statement-level re-retrieval, citation attribution, and separate citation-recall and citation-precision measures (Wang et al., 2025). PolicyCite-RAG adapts those ideas to public Centers for Medicare &amp; Medicaid Services (CMS) payment-policy documents.</w:t>
      </w:r>
    </w:p>
    <w:p>
      <w:pPr>
        <w:pStyle w:val="Heading1"/>
        <w:spacing w:before="160" w:after="80"/>
      </w:pPr>
      <w:r>
        <w:rPr>
          <w:rFonts w:ascii="Calibri" w:hAnsi="Calibri"/>
          <w:b/>
          <w:i w:val="0"/>
          <w:color w:val="1F4E79"/>
          <w:sz w:val="28"/>
        </w:rPr>
        <w:t>Proof of concept</w:t>
      </w:r>
    </w:p>
    <w:p>
      <w:pPr>
        <w:spacing w:after="120" w:line="259" w:lineRule="auto"/>
      </w:pPr>
      <w:r>
        <w:rPr>
          <w:rFonts w:ascii="Calibri" w:hAnsi="Calibri"/>
          <w:b w:val="0"/>
          <w:i w:val="0"/>
          <w:color w:val="142033"/>
          <w:sz w:val="22"/>
        </w:rPr>
        <w:t>The prototype preserves an inherited FastAPI and Streamlit RAG baseline using FAISS, BM25, and Reciprocal Rank Fusion. The new citation-assurance path records the exact passages supplied to answer generation, extracts factual statements, re-retrieves evidence for each statement, and uses a separately configured local model to issue a strict binary SUPPORTED or NOT_SUPPORTED judgment. Supported statements receive a validated document, display page, and exact excerpt; unsupported statements trigger a review recommendation. Generation context and post-generation evidence remain separate so later evidence is not misrepresented as original grounding.</w:t>
      </w:r>
    </w:p>
    <w:p>
      <w:pPr>
        <w:spacing w:after="120" w:line="259" w:lineRule="auto"/>
      </w:pPr>
      <w:r>
        <w:rPr>
          <w:rFonts w:ascii="Calibri" w:hAnsi="Calibri"/>
          <w:b w:val="0"/>
          <w:i w:val="0"/>
          <w:color w:val="142033"/>
          <w:sz w:val="22"/>
        </w:rPr>
        <w:t>The assessment corpus contains three public CMS documents covering Medicare timely filing, CMS-1500/837P billing, and prior authorization. A frozen ten-question evaluation includes direct, multi-statement, and unsupported-premise cases. The design intentionally favors a small reproducible vertical slice over agents, model fine-tuning, or production workflow infrastructure.</w:t>
      </w:r>
    </w:p>
    <w:p>
      <w:pPr>
        <w:pStyle w:val="Heading1"/>
        <w:spacing w:before="160" w:after="80"/>
      </w:pPr>
      <w:r>
        <w:rPr>
          <w:rFonts w:ascii="Calibri" w:hAnsi="Calibri"/>
          <w:b/>
          <w:i w:val="0"/>
          <w:color w:val="1F4E79"/>
          <w:sz w:val="28"/>
        </w:rPr>
        <w:t>Measured result</w:t>
      </w:r>
    </w:p>
    <w:p>
      <w:pPr>
        <w:spacing w:after="120" w:line="259" w:lineRule="auto"/>
      </w:pPr>
      <w:r>
        <w:rPr>
          <w:rFonts w:ascii="Calibri" w:hAnsi="Calibri"/>
          <w:b w:val="0"/>
          <w:i w:val="0"/>
          <w:color w:val="142033"/>
          <w:sz w:val="22"/>
        </w:rPr>
        <w:t>In the provenance-fixed run, both conditions evaluated the exact same generated answers. PolicyCite reduced attached citations from 43 to 18 and improved independently reviewed citation precision from 32/43 (74.4%) to 18/18 (100.0%). Coverage decreased from 19/21 (90.5%) to 16/21 (76.2%) because the stricter pipeline declined to attach evidence to five statements. Citation F1 increased from 81.7% to 86.5%, complete-answer retention remained 7/10, and median overhead was 3.69 seconds. This is a precision-coverage tradeoff, not a universal performance claim. Project-author label signoff remains required before external submission. Later answer-cleanup guardrails are unit-tested but must be rebenchmarked before these values are presented as final current-system results.</w:t>
      </w:r>
    </w:p>
    <w:p>
      <w:r>
        <w:br w:type="page"/>
      </w:r>
    </w:p>
    <w:p>
      <w:pPr>
        <w:pStyle w:val="Heading1"/>
        <w:spacing w:before="160" w:after="80"/>
      </w:pPr>
      <w:r>
        <w:rPr>
          <w:rFonts w:ascii="Calibri" w:hAnsi="Calibri"/>
          <w:b/>
          <w:i w:val="0"/>
          <w:color w:val="1F4E79"/>
          <w:sz w:val="28"/>
        </w:rPr>
        <w:t>Opportunities for Cotiviti</w:t>
      </w:r>
    </w:p>
    <w:p>
      <w:pPr>
        <w:spacing w:after="120" w:line="259" w:lineRule="auto"/>
      </w:pPr>
      <w:r>
        <w:rPr>
          <w:rFonts w:ascii="Calibri" w:hAnsi="Calibri"/>
          <w:b w:val="0"/>
          <w:i w:val="0"/>
          <w:color w:val="142033"/>
          <w:sz w:val="22"/>
        </w:rPr>
        <w:t>Policy citation assurance could serve as a reusable governance layer for content-heavy treatment, payment, and operations workflows. The immediate value is not autonomous policy interpretation; it is reducing reviewer effort while preserving an inspectable trail from generated language to authoritative text.</w:t>
      </w:r>
    </w:p>
    <w:p>
      <w:pPr>
        <w:pStyle w:val="ListBullet"/>
        <w:spacing w:after="80" w:line="252" w:lineRule="auto"/>
        <w:ind w:left="360" w:hanging="259"/>
      </w:pPr>
      <w:r>
        <w:rPr>
          <w:rFonts w:ascii="Calibri" w:hAnsi="Calibri"/>
          <w:b w:val="0"/>
          <w:i w:val="0"/>
          <w:color w:val="142033"/>
          <w:sz w:val="21"/>
        </w:rPr>
        <w:t>Policy research assistant: answer narrow billing or payment questions while exposing the exact supporting passage and page.</w:t>
      </w:r>
    </w:p>
    <w:p>
      <w:pPr>
        <w:pStyle w:val="ListBullet"/>
        <w:spacing w:after="80" w:line="252" w:lineRule="auto"/>
        <w:ind w:left="360" w:hanging="259"/>
      </w:pPr>
      <w:r>
        <w:rPr>
          <w:rFonts w:ascii="Calibri" w:hAnsi="Calibri"/>
          <w:b w:val="0"/>
          <w:i w:val="0"/>
          <w:color w:val="142033"/>
          <w:sz w:val="21"/>
        </w:rPr>
        <w:t>Content-quality control: evaluate summaries, policy-change explanations, or coding guidance at statement level before publication.</w:t>
      </w:r>
    </w:p>
    <w:p>
      <w:pPr>
        <w:pStyle w:val="ListBullet"/>
        <w:spacing w:after="80" w:line="252" w:lineRule="auto"/>
        <w:ind w:left="360" w:hanging="259"/>
      </w:pPr>
      <w:r>
        <w:rPr>
          <w:rFonts w:ascii="Calibri" w:hAnsi="Calibri"/>
          <w:b w:val="0"/>
          <w:i w:val="0"/>
          <w:color w:val="142033"/>
          <w:sz w:val="21"/>
        </w:rPr>
        <w:t>Governance service: export statement, evidence, model verdict, reviewer decision, corpus version, and timestamp as an audit record.</w:t>
      </w:r>
    </w:p>
    <w:p>
      <w:pPr>
        <w:pStyle w:val="ListBullet"/>
        <w:spacing w:after="80" w:line="252" w:lineRule="auto"/>
        <w:ind w:left="360" w:hanging="259"/>
      </w:pPr>
      <w:r>
        <w:rPr>
          <w:rFonts w:ascii="Calibri" w:hAnsi="Calibri"/>
          <w:b w:val="0"/>
          <w:i w:val="0"/>
          <w:color w:val="142033"/>
          <w:sz w:val="21"/>
        </w:rPr>
        <w:t>Evaluation harness: compare retrievers, models, and prompts using frozen questions and human-reviewed evidence rather than model self-grading.</w:t>
      </w:r>
    </w:p>
    <w:p>
      <w:pPr>
        <w:pStyle w:val="Heading1"/>
        <w:spacing w:before="160" w:after="80"/>
      </w:pPr>
      <w:r>
        <w:rPr>
          <w:rFonts w:ascii="Calibri" w:hAnsi="Calibri"/>
          <w:b/>
          <w:i w:val="0"/>
          <w:color w:val="1F4E79"/>
          <w:sz w:val="28"/>
        </w:rPr>
        <w:t>Threats and limitations</w:t>
      </w:r>
    </w:p>
    <w:p>
      <w:pPr>
        <w:spacing w:after="120" w:line="259" w:lineRule="auto"/>
      </w:pPr>
      <w:r>
        <w:rPr>
          <w:rFonts w:ascii="Calibri" w:hAnsi="Calibri"/>
          <w:b w:val="0"/>
          <w:i w:val="0"/>
          <w:color w:val="142033"/>
          <w:sz w:val="22"/>
        </w:rPr>
        <w:t>A citation does not prove that a document is current, controlling, or correctly interpreted. Retrieval may miss the best passage; an attribution model may accept related but incomplete evidence; PDF extraction can damage tables or footnotes; and a small local generator can emit awkward or irrelevant text. The present binary verdict also hides partial support, while the three-document corpus and ten-question set cannot establish production performance. Human review, effective-date metadata, access controls, monitoring, and domain-expert validation remain necessary. CMS itself distinguishes precise operational requirements, such as filing windows and prior-authorization timeframes, whose qualifiers must be preserved (CMS, 2011, 2024).</w:t>
      </w:r>
    </w:p>
    <w:p>
      <w:pPr>
        <w:pStyle w:val="Heading1"/>
        <w:spacing w:before="160" w:after="80"/>
      </w:pPr>
      <w:r>
        <w:rPr>
          <w:rFonts w:ascii="Calibri" w:hAnsi="Calibri"/>
          <w:b/>
          <w:i w:val="0"/>
          <w:color w:val="1F4E79"/>
          <w:sz w:val="28"/>
        </w:rPr>
        <w:t>Strategic recommendation</w:t>
      </w:r>
    </w:p>
    <w:p>
      <w:pPr>
        <w:spacing w:after="120" w:line="259" w:lineRule="auto"/>
      </w:pPr>
      <w:r>
        <w:rPr>
          <w:rFonts w:ascii="Calibri" w:hAnsi="Calibri"/>
          <w:b w:val="0"/>
          <w:i w:val="0"/>
          <w:color w:val="142033"/>
          <w:sz w:val="22"/>
        </w:rPr>
        <w:t>Cotiviti should explore a bounded policy-assurance pilot rather than a general-purpose healthcare chatbot. Start with one versioned policy domain, require evidence for every material statement, and route unsupported output to a qualified reviewer. Measure statement coverage, citation precision, answer completeness, reviewer agreement, latency, and time saved. A second experiment should compare the current RRF citation retrieval with the lexical-first, semantic-second approach highlighted by MedCite, because exact policy terminology may reward lexical precision.</w:t>
      </w:r>
    </w:p>
    <w:p>
      <w:pPr>
        <w:spacing w:after="120" w:line="259" w:lineRule="auto"/>
      </w:pPr>
      <w:r>
        <w:rPr>
          <w:rFonts w:ascii="Calibri" w:hAnsi="Calibri"/>
          <w:b w:val="0"/>
          <w:i w:val="0"/>
          <w:color w:val="142033"/>
          <w:sz w:val="22"/>
        </w:rPr>
        <w:t>The recommended investment is therefore a reusable evidence and evaluation layer—not a claim that generated text can replace policy experts. If the pilot demonstrates high precision, acceptable reviewer agreement, and measurable time savings, Cotiviti could extend the pattern to policy-change comparison, structured rule extraction, and controlled internal knowledge workflows. This path aligns technical experimentation with AI governance and converts a research insight into a practical, auditable capability.</w:t>
      </w:r>
    </w:p>
    <w:p>
      <w:pPr>
        <w:pStyle w:val="Heading1"/>
        <w:spacing w:before="160" w:after="80"/>
      </w:pPr>
      <w:r>
        <w:rPr>
          <w:rFonts w:ascii="Calibri" w:hAnsi="Calibri"/>
          <w:b/>
          <w:i w:val="0"/>
          <w:color w:val="1F4E79"/>
          <w:sz w:val="28"/>
        </w:rPr>
        <w:t>Decision</w:t>
      </w:r>
    </w:p>
    <w:p>
      <w:pPr>
        <w:spacing w:before="100" w:after="0"/>
        <w:ind w:left="259" w:right="259"/>
        <w:shd w:fill="E8EEF5"/>
      </w:pPr>
      <w:r>
        <w:rPr>
          <w:rFonts w:ascii="Calibri" w:hAnsi="Calibri"/>
          <w:b/>
          <w:i w:val="0"/>
          <w:color w:val="1F4E79"/>
          <w:sz w:val="22"/>
        </w:rPr>
        <w:t>Proceed with a narrow, reviewer-in-the-loop policy citation pilot and treat precision, provenance, and evaluation discipline as the product—not decorative citations.</w:t>
      </w:r>
    </w:p>
    <w:p>
      <w:r>
        <w:br w:type="page"/>
      </w:r>
    </w:p>
    <w:p>
      <w:pPr>
        <w:pStyle w:val="Heading1"/>
        <w:spacing w:before="160" w:after="80"/>
      </w:pPr>
      <w:r>
        <w:rPr>
          <w:rFonts w:ascii="Calibri" w:hAnsi="Calibri"/>
          <w:b/>
          <w:i w:val="0"/>
          <w:color w:val="1F4E79"/>
          <w:sz w:val="28"/>
        </w:rPr>
        <w:t>References</w:t>
      </w:r>
    </w:p>
    <w:p>
      <w:pPr>
        <w:spacing w:after="180" w:line="264" w:lineRule="auto"/>
        <w:ind w:left="504" w:hanging="504"/>
      </w:pPr>
      <w:r>
        <w:rPr>
          <w:rFonts w:ascii="Calibri" w:hAnsi="Calibri"/>
          <w:b w:val="0"/>
          <w:i w:val="0"/>
          <w:color w:val="142033"/>
          <w:sz w:val="22"/>
        </w:rPr>
        <w:t>Centers for Medicare &amp; Medicaid Services. (2011, January 21). Changes to the time limits for filing Medicare fee-for-service claims (Transmittal 2140, Change Request 7270). U.S. Department of Health and Human Services.</w:t>
      </w:r>
    </w:p>
    <w:p>
      <w:pPr>
        <w:spacing w:after="180" w:line="264" w:lineRule="auto"/>
        <w:ind w:left="504" w:hanging="504"/>
      </w:pPr>
      <w:r>
        <w:rPr>
          <w:rFonts w:ascii="Calibri" w:hAnsi="Calibri"/>
          <w:b w:val="0"/>
          <w:i w:val="0"/>
          <w:color w:val="142033"/>
          <w:sz w:val="22"/>
        </w:rPr>
        <w:t>Centers for Medicare &amp; Medicaid Services. (2024, January 17). CMS interoperability and prior authorization final rule CMS-0057-F: Fact sheet. U.S. Department of Health and Human Services.</w:t>
      </w:r>
    </w:p>
    <w:p>
      <w:pPr>
        <w:spacing w:after="180" w:line="264" w:lineRule="auto"/>
        <w:ind w:left="504" w:hanging="504"/>
      </w:pPr>
      <w:r>
        <w:rPr>
          <w:rFonts w:ascii="Calibri" w:hAnsi="Calibri"/>
          <w:b w:val="0"/>
          <w:i w:val="0"/>
          <w:color w:val="142033"/>
          <w:sz w:val="22"/>
        </w:rPr>
        <w:t>Centers for Medicare &amp; Medicaid Services. (2025, December). Medicare billing: CMS-1500 &amp; 837P (MLN006976). U.S. Department of Health and Human Services.</w:t>
      </w:r>
    </w:p>
    <w:p>
      <w:pPr>
        <w:spacing w:after="180" w:line="264" w:lineRule="auto"/>
        <w:ind w:left="504" w:hanging="504"/>
      </w:pPr>
      <w:r>
        <w:rPr>
          <w:rFonts w:ascii="Calibri" w:hAnsi="Calibri"/>
          <w:b w:val="0"/>
          <w:i w:val="0"/>
          <w:color w:val="142033"/>
          <w:sz w:val="22"/>
        </w:rPr>
        <w:t>Cotiviti. (2026). Intern - Generative AI Research Engineer: Position description (ID 2026-19341).</w:t>
      </w:r>
    </w:p>
    <w:p>
      <w:pPr>
        <w:spacing w:after="180" w:line="264" w:lineRule="auto"/>
        <w:ind w:left="504" w:hanging="504"/>
      </w:pPr>
      <w:r>
        <w:rPr>
          <w:rFonts w:ascii="Calibri" w:hAnsi="Calibri"/>
          <w:b w:val="0"/>
          <w:i w:val="0"/>
          <w:color w:val="142033"/>
          <w:sz w:val="22"/>
        </w:rPr>
        <w:t>Cotiviti. (n.d.). Intern assessment directions.</w:t>
      </w:r>
    </w:p>
    <w:p>
      <w:pPr>
        <w:spacing w:after="180" w:line="264" w:lineRule="auto"/>
        <w:ind w:left="504" w:hanging="504"/>
      </w:pPr>
      <w:r>
        <w:rPr>
          <w:rFonts w:ascii="Calibri" w:hAnsi="Calibri"/>
          <w:b w:val="0"/>
          <w:i w:val="0"/>
          <w:color w:val="142033"/>
          <w:sz w:val="22"/>
        </w:rPr>
        <w:t>Wang, X., Tan, M., Jin, Q., Xiong, G., Hu, Y., Zhang, A., Lu, Z., &amp; Zhang, M. (2025). MedCite: Can language models generate verifiable text for medicine? arXiv. https://arxiv.org/abs/2506.06605</w:t>
      </w:r>
    </w:p>
    <w:p>
      <w:pPr>
        <w:pStyle w:val="Heading1"/>
        <w:spacing w:before="160" w:after="80"/>
      </w:pPr>
      <w:r>
        <w:rPr>
          <w:rFonts w:ascii="Calibri" w:hAnsi="Calibri"/>
          <w:b/>
          <w:i w:val="0"/>
          <w:color w:val="1F4E79"/>
          <w:sz w:val="28"/>
        </w:rPr>
        <w:t>Prototype evidence</w:t>
      </w:r>
    </w:p>
    <w:p>
      <w:pPr>
        <w:spacing w:after="120" w:line="259" w:lineRule="auto"/>
      </w:pPr>
      <w:r>
        <w:rPr>
          <w:rFonts w:ascii="Calibri" w:hAnsi="Calibri"/>
          <w:b w:val="0"/>
          <w:i w:val="0"/>
          <w:color w:val="142033"/>
          <w:sz w:val="22"/>
        </w:rPr>
        <w:t>PolicyCite-RAG source code, frozen questions, per-question traces, and timestamped results are included in the accompanying GitHub repository. The original failed run and invalidated label run are retained as audit history.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224" w:bottom="1037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5B6674"/>
        <w:sz w:val="18"/>
      </w:rPr>
      <w:t xml:space="preserve">Aanya Lari  |  </w:t>
    </w:r>
    <w:r>
      <w:rPr>
        <w:rFonts w:ascii="Calibri" w:hAnsi="Calibri"/>
        <w:b w:val="0"/>
        <w:i w:val="0"/>
        <w:color w:val="5B6674"/>
        <w:sz w:val="18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i w:val="0"/>
        <w:color w:val="5B6674"/>
        <w:sz w:val="17"/>
      </w:rPr>
      <w:t>POLICYCITE-RAG  |  COTIVITI INTERNSHIP ASSESSMENT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