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20"/>
          <w:szCs w:val="20"/>
        </w:rPr>
        <w:t xml:space="preserve">Schwerpunktfach Chemie · SPF-Tage</w:t>
      </w:r>
    </w:p>
    <w:p>
      <w:pPr>
        <w:spacing w:after="60"/>
      </w:pPr>
      <w:r>
        <w:rPr>
          <w:b/>
          <w:bCs/>
          <w:color w:val="000000"/>
          <w:sz w:val="40"/>
          <w:szCs w:val="40"/>
        </w:rPr>
        <w:t xml:space="preserve">KI-Aktivität «Bitterrezeptoren»</w:t>
      </w:r>
    </w:p>
    <w:p>
      <w:pPr>
        <w:spacing w:after="60"/>
      </w:pPr>
      <w:r>
        <w:rPr>
          <w:color w:val="595959"/>
          <w:sz w:val="24"/>
          <w:szCs w:val="24"/>
        </w:rPr>
        <w:t xml:space="preserve">Didaktisches Konzept &amp; Ablaufplan für einen eigenständigen KI-Block</w:t>
      </w:r>
    </w:p>
    <w:p>
      <w:pPr>
        <w:pBdr>
          <w:bottom w:val="single" w:color="1F4E79" w:sz="12"/>
        </w:pBdr>
        <w:spacing w:after="200"/>
      </w:pPr>
    </w:p>
    <w:p>
      <w:pPr>
        <w:spacing w:after="120" w:line="276"/>
      </w:pPr>
      <w:r>
        <w:rPr>
          <w:b/>
          <w:bCs/>
        </w:rPr>
        <w:t xml:space="preserve">Kurzbeschrieb: </w:t>
      </w:r>
      <w:r>
        <w:t xml:space="preserve">Ein in sich geschlossener Nachmittags-Block, in dem die Studierenden Künstliche Intelligenz als kognitives Werkzeug einsetzen, um das PCR-/Genotypisierungs-Praktikum zum TAS2R38-Bitterrezeptor gedanklich zu durchdringen – vom Verstehen der Methode über die Datenauswertung bis zur kritischen und ethischen Beurteilung. Der Block ergänzt das Laborpraktikum, steht aber didaktisch auf eigenen Beinen.</w:t>
      </w:r>
    </w:p>
    <w:p>
      <w:pPr>
        <w:pStyle w:val="Heading1"/>
        <w:spacing w:after="140" w:before="320"/>
      </w:pPr>
      <w:r>
        <w:rPr>
          <w:b/>
          <w:bCs/>
          <w:color w:val="1F4E79"/>
        </w:rPr>
        <w:t xml:space="preserve">1  Ausgangslage &amp; Einordnung</w:t>
      </w:r>
    </w:p>
    <w:p>
      <w:pPr>
        <w:spacing w:after="120" w:line="276"/>
      </w:pPr>
      <w:r>
        <w:t>Das Praktikum liefert reale Daten: Über eine Tetra-Primer-ARMS-PCR wird der SNP rs713598 im Bitterrezeptor-Gen TAS2R38 genotypisiert. Das Gelbild zeigt drei mögliche Banden – 640 bp als Kontrolle, 436 bp für das «Non-Taster»-Allel und 281 bp für das «Taster»-Allel. Damit lässt sich pro Person ableiten, ob sie homozygot bzw. heterozygot für die Bitterwahrnehmung veranlagt ist.</w:t>
      </w:r>
    </w:p>
    <w:p>
      <w:pPr>
        <w:spacing w:after="120" w:line="276"/>
      </w:pPr>
      <w:r>
        <w:t xml:space="preserve">Der KI-Block setzt genau hier an. Er nutzt die persönliche Betroffenheit («Bin ich Taster oder nicht?») als Motor und führt die Studierenden entlang einer klaren Erkenntnistreppe: die Methode verstehen, die eigenen Daten auswerten, den Schluss vom Gen auf die Wahrnehmung kritisch prüfen und schliesslich die gesellschaftliche Dimension genetischer Information beurteilen.</w:t>
      </w:r>
    </w:p>
    <w:p>
      <w:pPr>
        <w:spacing w:after="120" w:line="276"/>
      </w:pPr>
      <w:r>
        <w:rPr>
          <w:b/>
          <w:bCs/>
        </w:rPr>
        <w:t xml:space="preserve">Wichtig: </w:t>
      </w:r>
      <w:r>
        <w:t xml:space="preserve">Inhaltlich bleibt der Block eng an den kuratierten Unterlagen im Ordner (Protokoll, ARMS-Primer, Theorie-Folien, SNP-Artikel). Die KI ersetzt kein Material, sondern zwingt zum aktiven Umgang damit.</w:t>
      </w:r>
    </w:p>
    <w:p>
      <w:pPr>
        <w:pStyle w:val="Heading1"/>
        <w:spacing w:after="140" w:before="320"/>
      </w:pPr>
      <w:r>
        <w:rPr>
          <w:b/>
          <w:bCs/>
          <w:color w:val="1F4E79"/>
        </w:rPr>
        <w:t xml:space="preserve">2  Leitidee &amp; didaktische Haltung</w:t>
      </w:r>
    </w:p>
    <w:p>
      <w:pPr>
        <w:spacing w:after="120" w:line="276"/>
      </w:pPr>
      <w:r>
        <w:t xml:space="preserve">Die KI wird nicht als Abkürzung zur richtigen Antwort eingesetzt, sondern als Gegenüber, das zum Denken zwingt. Drei Grundsätze tragen den Block:</w:t>
      </w:r>
    </w:p>
    <w:p>
      <w:pPr>
        <w:pStyle w:val="ListParagraph"/>
        <w:numPr>
          <w:ilvl w:val="0"/>
          <w:numId w:val="1"/>
        </w:numPr>
        <w:spacing w:after="60" w:line="264"/>
      </w:pPr>
      <w:r>
        <w:rPr>
          <w:b/>
          <w:bCs/>
        </w:rPr>
        <w:t xml:space="preserve">Prozess vor Produkt. </w:t>
      </w:r>
      <w:r>
        <w:t xml:space="preserve">Bewertet und besprochen wird, wie die Studierenden mit der KI ringen – nicht das polierte Endergebnis. Fehler und Korrekturen sind erwünscht.</w:t>
      </w:r>
    </w:p>
    <w:p>
      <w:pPr>
        <w:pStyle w:val="ListParagraph"/>
        <w:numPr>
          <w:ilvl w:val="0"/>
          <w:numId w:val="1"/>
        </w:numPr>
        <w:spacing w:after="60" w:line="264"/>
      </w:pPr>
      <w:r>
        <w:rPr>
          <w:b/>
          <w:bCs/>
        </w:rPr>
        <w:t xml:space="preserve">KI in einer klaren Rolle. </w:t>
      </w:r>
      <w:r>
        <w:t xml:space="preserve">In jeder Phase bekommt die KI eine definierte Funktion (Tutor, Prüfpartner, Advocatus Diaboli). Das verhindert das blosse Abholen von Lösungen.</w:t>
      </w:r>
    </w:p>
    <w:p>
      <w:pPr>
        <w:pStyle w:val="ListParagraph"/>
        <w:numPr>
          <w:ilvl w:val="0"/>
          <w:numId w:val="1"/>
        </w:numPr>
        <w:spacing w:after="60" w:line="264"/>
      </w:pPr>
      <w:r>
        <w:rPr>
          <w:b/>
          <w:bCs/>
        </w:rPr>
        <w:t xml:space="preserve">Verifikation als Pflicht. </w:t>
      </w:r>
      <w:r>
        <w:t xml:space="preserve">Jede KI-Aussage wird gegen das eigene Protokoll bzw. die Unterlagen geprüft. Dass die KI auch überzeugend falsch liegen kann (z. B. bei Bandenlängen), ist Teil der Lernerfahrung.</w:t>
      </w:r>
    </w:p>
    <w:p>
      <w:pPr>
        <w:spacing w:after="120" w:line="276"/>
      </w:pPr>
      <w:r>
        <w:t xml:space="preserve">Der Block folgt damit bewusst dem Übergang von passivem zu aktivem, konstruktivem und interaktivem Lernen. Die Sprechzeit der Lehrperson ist minimal; die Aha-Momente bleiben bei den Studierenden.</w:t>
      </w:r>
    </w:p>
    <w:p>
      <w:pPr>
        <w:pStyle w:val="Heading1"/>
        <w:spacing w:after="140" w:before="320"/>
      </w:pPr>
      <w:r>
        <w:rPr>
          <w:b/>
          <w:bCs/>
          <w:color w:val="1F4E79"/>
        </w:rPr>
        <w:t xml:space="preserve">3  Lernziele des KI-Blocks</w:t>
      </w:r>
    </w:p>
    <w:p>
      <w:pPr>
        <w:spacing w:after="120" w:line="276"/>
      </w:pPr>
      <w:r>
        <w:t xml:space="preserve">Die Ziele sind aus den Lernzielen des Praktikums abgeleitet und nicht darüber hinausgehend. Am Ende des Blocks können die Studierenden:</w:t>
      </w:r>
    </w:p>
    <w:p>
      <w:pPr>
        <w:pStyle w:val="ListParagraph"/>
        <w:numPr>
          <w:ilvl w:val="0"/>
          <w:numId w:val="1"/>
        </w:numPr>
        <w:spacing w:after="60" w:line="264"/>
      </w:pPr>
      <w:r>
        <w:t xml:space="preserve">den Ablauf der PCR mit ihren drei Phasen (Denaturierung, Annealing, Extension) korrekt erklären und die Funktion der inner/outer Primer bei der ARMS-PCR benennen;</w:t>
      </w:r>
    </w:p>
    <w:p>
      <w:pPr>
        <w:pStyle w:val="ListParagraph"/>
        <w:numPr>
          <w:ilvl w:val="0"/>
          <w:numId w:val="1"/>
        </w:numPr>
        <w:spacing w:after="60" w:line="264"/>
      </w:pPr>
      <w:r>
        <w:t xml:space="preserve">aus einem Gelbild bzw. den Produktlängen (640 / 436 / 281 bp) den Genotyp einer Probe ableiten und ihre Interpretation begründen;</w:t>
      </w:r>
    </w:p>
    <w:p>
      <w:pPr>
        <w:pStyle w:val="ListParagraph"/>
        <w:numPr>
          <w:ilvl w:val="0"/>
          <w:numId w:val="1"/>
        </w:numPr>
        <w:spacing w:after="60" w:line="264"/>
      </w:pPr>
      <w:r>
        <w:t xml:space="preserve">die Aussagekraft eines TAS2R38-Genotyps für die Bitterwahrnehmung beurteilen und mindestens zwei Einflussfaktoren bzw. Grenzen benennen;</w:t>
      </w:r>
    </w:p>
    <w:p>
      <w:pPr>
        <w:pStyle w:val="ListParagraph"/>
        <w:numPr>
          <w:ilvl w:val="0"/>
          <w:numId w:val="1"/>
        </w:numPr>
        <w:spacing w:after="60" w:line="264"/>
      </w:pPr>
      <w:r>
        <w:t xml:space="preserve">den Nutzen und die Grenzen von KI-Antworten im naturwissenschaftlichen Arbeiten reflektieren und Aussagen eigenständig verifizieren.</w:t>
      </w:r>
    </w:p>
    <w:p>
      <w:pPr>
        <w:pStyle w:val="Heading1"/>
        <w:spacing w:after="140" w:before="320"/>
      </w:pPr>
      <w:r>
        <w:rPr>
          <w:b/>
          <w:bCs/>
          <w:color w:val="1F4E79"/>
        </w:rPr>
        <w:t xml:space="preserve">4  Aufbau: vier Phasen, eine Erkenntnistreppe</w:t>
      </w:r>
    </w:p>
    <w:p>
      <w:pPr>
        <w:spacing w:after="120" w:line="276"/>
      </w:pPr>
      <w:r>
        <w:t xml:space="preserve">Der Block durchläuft vier Phasen, die auf den vier gewünschten KI-Rollen beruhen. Sie bauen didaktisch aufeinander auf – vom Verstehen bis zum Werten. Die Phasen können nacheinander mit der ganzen Klasse (empfohlen) oder als rotierende Stationen in Gruppen laufen.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400"/>
        <w:gridCol w:w="2350"/>
        <w:gridCol w:w="3150"/>
        <w:gridCol w:w="2000"/>
      </w:tblGrid>
      <w:tr>
        <w:trPr>
          <w:tblHeader/>
        </w:trPr>
        <w:tc>
          <w:tcPr>
            <w:tcW w:type="dxa" w:w="1400"/>
            <w:shd w:fill="1F4E79" w:color="auto" w:val="clear"/>
            <w:tcMar>
              <w:top w:type="dxa" w:w="60"/>
              <w:left w:type="dxa" w:w="90"/>
              <w:bottom w:type="dxa" w:w="60"/>
              <w:right w:type="dxa" w:w="90"/>
            </w:tcMar>
          </w:tcPr>
          <w:p>
            <w:pPr>
              <w:spacing w:after="20" w:line="252"/>
            </w:pPr>
            <w:r>
              <w:rPr>
                <w:b/>
                <w:bCs/>
                <w:color w:val="FFFFFF"/>
              </w:rPr>
              <w:t xml:space="preserve">Phase</w:t>
            </w:r>
          </w:p>
        </w:tc>
        <w:tc>
          <w:tcPr>
            <w:tcW w:type="dxa" w:w="2350"/>
            <w:shd w:fill="1F4E79" w:color="auto" w:val="clear"/>
            <w:tcMar>
              <w:top w:type="dxa" w:w="60"/>
              <w:left w:type="dxa" w:w="90"/>
              <w:bottom w:type="dxa" w:w="60"/>
              <w:right w:type="dxa" w:w="90"/>
            </w:tcMar>
          </w:tcPr>
          <w:p>
            <w:pPr>
              <w:spacing w:after="20" w:line="252"/>
            </w:pPr>
            <w:r>
              <w:rPr>
                <w:b/>
                <w:bCs/>
                <w:color w:val="FFFFFF"/>
              </w:rPr>
              <w:t xml:space="preserve">KI-Rolle</w:t>
            </w:r>
          </w:p>
        </w:tc>
        <w:tc>
          <w:tcPr>
            <w:tcW w:type="dxa" w:w="3150"/>
            <w:shd w:fill="1F4E79" w:color="auto" w:val="clear"/>
            <w:tcMar>
              <w:top w:type="dxa" w:w="60"/>
              <w:left w:type="dxa" w:w="90"/>
              <w:bottom w:type="dxa" w:w="60"/>
              <w:right w:type="dxa" w:w="90"/>
            </w:tcMar>
          </w:tcPr>
          <w:p>
            <w:pPr>
              <w:spacing w:after="20" w:line="252"/>
            </w:pPr>
            <w:r>
              <w:rPr>
                <w:b/>
                <w:bCs/>
                <w:color w:val="FFFFFF"/>
              </w:rPr>
              <w:t xml:space="preserve">Was die Studierenden tun</w:t>
            </w:r>
          </w:p>
        </w:tc>
        <w:tc>
          <w:tcPr>
            <w:tcW w:type="dxa" w:w="2000"/>
            <w:shd w:fill="1F4E79" w:color="auto" w:val="clear"/>
            <w:tcMar>
              <w:top w:type="dxa" w:w="60"/>
              <w:left w:type="dxa" w:w="90"/>
              <w:bottom w:type="dxa" w:w="60"/>
              <w:right w:type="dxa" w:w="90"/>
            </w:tcMar>
          </w:tcPr>
          <w:p>
            <w:pPr>
              <w:spacing w:after="20" w:line="252"/>
            </w:pPr>
            <w:r>
              <w:rPr>
                <w:b/>
                <w:bCs/>
                <w:color w:val="FFFFFF"/>
              </w:rPr>
              <w:t xml:space="preserve">Kognitive Stufe</w:t>
            </w:r>
          </w:p>
        </w:tc>
      </w:tr>
      <w:tr>
        <w:tc>
          <w:tcPr>
            <w:tcW w:type="dxa" w:w="1400"/>
            <w:shd w:fill="DEEAF1" w:color="auto" w:val="clear"/>
            <w:tcMar>
              <w:top w:type="dxa" w:w="60"/>
              <w:left w:type="dxa" w:w="90"/>
              <w:bottom w:type="dxa" w:w="60"/>
              <w:right w:type="dxa" w:w="90"/>
            </w:tcMar>
          </w:tcPr>
          <w:p>
            <w:pPr>
              <w:spacing w:after="20" w:line="252"/>
            </w:pPr>
            <w:r>
              <w:rPr>
                <w:b w:val="false"/>
                <w:bCs w:val="false"/>
                <w:color w:val="000000"/>
              </w:rPr>
              <w:t xml:space="preserve">A</w:t>
            </w:r>
          </w:p>
        </w:tc>
        <w:tc>
          <w:tcPr>
            <w:tcW w:type="dxa" w:w="2350"/>
            <w:shd w:fill="DEEAF1" w:color="auto" w:val="clear"/>
            <w:tcMar>
              <w:top w:type="dxa" w:w="60"/>
              <w:left w:type="dxa" w:w="90"/>
              <w:bottom w:type="dxa" w:w="60"/>
              <w:right w:type="dxa" w:w="90"/>
            </w:tcMar>
          </w:tcPr>
          <w:p>
            <w:pPr>
              <w:spacing w:after="20" w:line="252"/>
            </w:pPr>
            <w:r>
              <w:rPr>
                <w:b w:val="false"/>
                <w:bCs w:val="false"/>
                <w:color w:val="000000"/>
              </w:rPr>
              <w:t xml:space="preserve">Sokratischer PCR-Tutor</w:t>
            </w:r>
          </w:p>
        </w:tc>
        <w:tc>
          <w:tcPr>
            <w:tcW w:type="dxa" w:w="3150"/>
            <w:shd w:fill="DEEAF1" w:color="auto" w:val="clear"/>
            <w:tcMar>
              <w:top w:type="dxa" w:w="60"/>
              <w:left w:type="dxa" w:w="90"/>
              <w:bottom w:type="dxa" w:w="60"/>
              <w:right w:type="dxa" w:w="90"/>
            </w:tcMar>
          </w:tcPr>
          <w:p>
            <w:pPr>
              <w:spacing w:after="20" w:line="252"/>
            </w:pPr>
            <w:r>
              <w:rPr>
                <w:b w:val="false"/>
                <w:bCs w:val="false"/>
                <w:color w:val="000000"/>
              </w:rPr>
              <w:t xml:space="preserve">Lassen sich von der KI zu PCR-Phasen, Primern und dem ARMS-Prinzip abfragen; erklären der KI die Methode und lassen Lücken aufdecken.</w:t>
            </w:r>
          </w:p>
        </w:tc>
        <w:tc>
          <w:tcPr>
            <w:tcW w:type="dxa" w:w="2000"/>
            <w:shd w:fill="DEEAF1" w:color="auto" w:val="clear"/>
            <w:tcMar>
              <w:top w:type="dxa" w:w="60"/>
              <w:left w:type="dxa" w:w="90"/>
              <w:bottom w:type="dxa" w:w="60"/>
              <w:right w:type="dxa" w:w="90"/>
            </w:tcMar>
          </w:tcPr>
          <w:p>
            <w:pPr>
              <w:spacing w:after="20" w:line="252"/>
            </w:pPr>
            <w:r>
              <w:rPr>
                <w:b w:val="false"/>
                <w:bCs w:val="false"/>
                <w:color w:val="000000"/>
              </w:rPr>
              <w:t xml:space="preserve">Verstehen</w:t>
            </w:r>
          </w:p>
        </w:tc>
      </w:tr>
      <w:tr>
        <w:tc>
          <w:tcPr>
            <w:tcW w:type="dxa" w:w="1400"/>
            <w:tcMar>
              <w:top w:type="dxa" w:w="60"/>
              <w:left w:type="dxa" w:w="90"/>
              <w:bottom w:type="dxa" w:w="60"/>
              <w:right w:type="dxa" w:w="90"/>
            </w:tcMar>
          </w:tcPr>
          <w:p>
            <w:pPr>
              <w:spacing w:after="20" w:line="252"/>
            </w:pPr>
            <w:r>
              <w:rPr>
                <w:b w:val="false"/>
                <w:bCs w:val="false"/>
                <w:color w:val="000000"/>
              </w:rPr>
              <w:t xml:space="preserve">B</w:t>
            </w:r>
          </w:p>
        </w:tc>
        <w:tc>
          <w:tcPr>
            <w:tcW w:type="dxa" w:w="2350"/>
            <w:tcMar>
              <w:top w:type="dxa" w:w="60"/>
              <w:left w:type="dxa" w:w="90"/>
              <w:bottom w:type="dxa" w:w="60"/>
              <w:right w:type="dxa" w:w="90"/>
            </w:tcMar>
          </w:tcPr>
          <w:p>
            <w:pPr>
              <w:spacing w:after="20" w:line="252"/>
            </w:pPr>
            <w:r>
              <w:rPr>
                <w:b w:val="false"/>
                <w:bCs w:val="false"/>
                <w:color w:val="000000"/>
              </w:rPr>
              <w:t xml:space="preserve">Prüfpartner Datenauswertung</w:t>
            </w:r>
          </w:p>
        </w:tc>
        <w:tc>
          <w:tcPr>
            <w:tcW w:type="dxa" w:w="3150"/>
            <w:tcMar>
              <w:top w:type="dxa" w:w="60"/>
              <w:left w:type="dxa" w:w="90"/>
              <w:bottom w:type="dxa" w:w="60"/>
              <w:right w:type="dxa" w:w="90"/>
            </w:tcMar>
          </w:tcPr>
          <w:p>
            <w:pPr>
              <w:spacing w:after="20" w:line="252"/>
            </w:pPr>
            <w:r>
              <w:rPr>
                <w:b w:val="false"/>
                <w:bCs w:val="false"/>
                <w:color w:val="000000"/>
              </w:rPr>
              <w:t xml:space="preserve">Leiten aus dem eigenen Gelbild / den Bandenlängen den Genotyp ab und lassen ihre Interpretation von der KI hinterfragen – nicht vorgeben.</w:t>
            </w:r>
          </w:p>
        </w:tc>
        <w:tc>
          <w:tcPr>
            <w:tcW w:type="dxa" w:w="2000"/>
            <w:tcMar>
              <w:top w:type="dxa" w:w="60"/>
              <w:left w:type="dxa" w:w="90"/>
              <w:bottom w:type="dxa" w:w="60"/>
              <w:right w:type="dxa" w:w="90"/>
            </w:tcMar>
          </w:tcPr>
          <w:p>
            <w:pPr>
              <w:spacing w:after="20" w:line="252"/>
            </w:pPr>
            <w:r>
              <w:rPr>
                <w:b w:val="false"/>
                <w:bCs w:val="false"/>
                <w:color w:val="000000"/>
              </w:rPr>
              <w:t xml:space="preserve">Anwenden</w:t>
            </w:r>
          </w:p>
        </w:tc>
      </w:tr>
      <w:tr>
        <w:tc>
          <w:tcPr>
            <w:tcW w:type="dxa" w:w="1400"/>
            <w:shd w:fill="DEEAF1" w:color="auto" w:val="clear"/>
            <w:tcMar>
              <w:top w:type="dxa" w:w="60"/>
              <w:left w:type="dxa" w:w="90"/>
              <w:bottom w:type="dxa" w:w="60"/>
              <w:right w:type="dxa" w:w="90"/>
            </w:tcMar>
          </w:tcPr>
          <w:p>
            <w:pPr>
              <w:spacing w:after="20" w:line="252"/>
            </w:pPr>
            <w:r>
              <w:rPr>
                <w:b w:val="false"/>
                <w:bCs w:val="false"/>
                <w:color w:val="000000"/>
              </w:rPr>
              <w:t xml:space="preserve">C</w:t>
            </w:r>
          </w:p>
        </w:tc>
        <w:tc>
          <w:tcPr>
            <w:tcW w:type="dxa" w:w="2350"/>
            <w:shd w:fill="DEEAF1" w:color="auto" w:val="clear"/>
            <w:tcMar>
              <w:top w:type="dxa" w:w="60"/>
              <w:left w:type="dxa" w:w="90"/>
              <w:bottom w:type="dxa" w:w="60"/>
              <w:right w:type="dxa" w:w="90"/>
            </w:tcMar>
          </w:tcPr>
          <w:p>
            <w:pPr>
              <w:spacing w:after="20" w:line="252"/>
            </w:pPr>
            <w:r>
              <w:rPr>
                <w:b w:val="false"/>
                <w:bCs w:val="false"/>
                <w:color w:val="000000"/>
              </w:rPr>
              <w:t xml:space="preserve">Advocatus Diaboli Genotyp→Phänotyp</w:t>
            </w:r>
          </w:p>
        </w:tc>
        <w:tc>
          <w:tcPr>
            <w:tcW w:type="dxa" w:w="3150"/>
            <w:shd w:fill="DEEAF1" w:color="auto" w:val="clear"/>
            <w:tcMar>
              <w:top w:type="dxa" w:w="60"/>
              <w:left w:type="dxa" w:w="90"/>
              <w:bottom w:type="dxa" w:w="60"/>
              <w:right w:type="dxa" w:w="90"/>
            </w:tcMar>
          </w:tcPr>
          <w:p>
            <w:pPr>
              <w:spacing w:after="20" w:line="252"/>
            </w:pPr>
            <w:r>
              <w:rPr>
                <w:b w:val="false"/>
                <w:bCs w:val="false"/>
                <w:color w:val="000000"/>
              </w:rPr>
              <w:t xml:space="preserve">Prüfen mit der KI den Schluss «Genotyp = Geschmack»; sammeln Einflussfaktoren und Grenzen, widerlegen Kurzschlüsse.</w:t>
            </w:r>
          </w:p>
        </w:tc>
        <w:tc>
          <w:tcPr>
            <w:tcW w:type="dxa" w:w="2000"/>
            <w:shd w:fill="DEEAF1" w:color="auto" w:val="clear"/>
            <w:tcMar>
              <w:top w:type="dxa" w:w="60"/>
              <w:left w:type="dxa" w:w="90"/>
              <w:bottom w:type="dxa" w:w="60"/>
              <w:right w:type="dxa" w:w="90"/>
            </w:tcMar>
          </w:tcPr>
          <w:p>
            <w:pPr>
              <w:spacing w:after="20" w:line="252"/>
            </w:pPr>
            <w:r>
              <w:rPr>
                <w:b w:val="false"/>
                <w:bCs w:val="false"/>
                <w:color w:val="000000"/>
              </w:rPr>
              <w:t xml:space="preserve">Beurteilen</w:t>
            </w:r>
          </w:p>
        </w:tc>
      </w:tr>
      <w:tr>
        <w:tc>
          <w:tcPr>
            <w:tcW w:type="dxa" w:w="1400"/>
            <w:tcMar>
              <w:top w:type="dxa" w:w="60"/>
              <w:left w:type="dxa" w:w="90"/>
              <w:bottom w:type="dxa" w:w="60"/>
              <w:right w:type="dxa" w:w="90"/>
            </w:tcMar>
          </w:tcPr>
          <w:p>
            <w:pPr>
              <w:spacing w:after="20" w:line="252"/>
            </w:pPr>
            <w:r>
              <w:rPr>
                <w:b w:val="false"/>
                <w:bCs w:val="false"/>
                <w:color w:val="000000"/>
              </w:rPr>
              <w:t xml:space="preserve">D</w:t>
            </w:r>
          </w:p>
        </w:tc>
        <w:tc>
          <w:tcPr>
            <w:tcW w:type="dxa" w:w="2350"/>
            <w:tcMar>
              <w:top w:type="dxa" w:w="60"/>
              <w:left w:type="dxa" w:w="90"/>
              <w:bottom w:type="dxa" w:w="60"/>
              <w:right w:type="dxa" w:w="90"/>
            </w:tcMar>
          </w:tcPr>
          <w:p>
            <w:pPr>
              <w:spacing w:after="20" w:line="252"/>
            </w:pPr>
            <w:r>
              <w:rPr>
                <w:b w:val="false"/>
                <w:bCs w:val="false"/>
                <w:color w:val="000000"/>
              </w:rPr>
              <w:t xml:space="preserve">Debattenpartner Datenethik</w:t>
            </w:r>
          </w:p>
        </w:tc>
        <w:tc>
          <w:tcPr>
            <w:tcW w:type="dxa" w:w="3150"/>
            <w:tcMar>
              <w:top w:type="dxa" w:w="60"/>
              <w:left w:type="dxa" w:w="90"/>
              <w:bottom w:type="dxa" w:w="60"/>
              <w:right w:type="dxa" w:w="90"/>
            </w:tcMar>
          </w:tcPr>
          <w:p>
            <w:pPr>
              <w:spacing w:after="20" w:line="252"/>
            </w:pPr>
            <w:r>
              <w:rPr>
                <w:b w:val="false"/>
                <w:bCs w:val="false"/>
                <w:color w:val="000000"/>
              </w:rPr>
              <w:t xml:space="preserve">Debattieren mit der KI zu personalisierter Medizin, genetischer Variation und Datenethik; beziehen begründet Position.</w:t>
            </w:r>
          </w:p>
        </w:tc>
        <w:tc>
          <w:tcPr>
            <w:tcW w:type="dxa" w:w="2000"/>
            <w:tcMar>
              <w:top w:type="dxa" w:w="60"/>
              <w:left w:type="dxa" w:w="90"/>
              <w:bottom w:type="dxa" w:w="60"/>
              <w:right w:type="dxa" w:w="90"/>
            </w:tcMar>
          </w:tcPr>
          <w:p>
            <w:pPr>
              <w:spacing w:after="20" w:line="252"/>
            </w:pPr>
            <w:r>
              <w:rPr>
                <w:b w:val="false"/>
                <w:bCs w:val="false"/>
                <w:color w:val="000000"/>
              </w:rPr>
              <w:t xml:space="preserve">Werten</w:t>
            </w:r>
          </w:p>
        </w:tc>
      </w:tr>
    </w:tbl>
    <w:p>
      <w:pPr>
        <w:spacing w:after="120" w:line="276"/>
      </w:pPr>
      <w:r>
        <w:t xml:space="preserve"/>
      </w:r>
    </w:p>
    <w:p>
      <w:pPr>
        <w:pStyle w:val="Heading2"/>
        <w:spacing w:after="100" w:before="220"/>
      </w:pPr>
      <w:r>
        <w:rPr>
          <w:b/>
          <w:bCs/>
          <w:color w:val="1F4E79"/>
        </w:rPr>
        <w:t xml:space="preserve">Phase A – Sokratischer PCR-Tutor</w:t>
      </w:r>
    </w:p>
    <w:p>
      <w:pPr>
        <w:spacing w:after="120" w:line="276"/>
      </w:pPr>
      <w:r>
        <w:t xml:space="preserve">Ziel: Die Methode sitzt. Die Studierenden fordern die KI auf, sie wie ein Tutor zu prüfen, statt Antworten zu liefern – also mit Gegenfragen und Mini-Aufgaben zu den drei PCR-Phasen und zur Rolle von inner/outer Primern. Umgekehrt erklären sie der KI das ARMS-Prinzip und lassen sich Verständnislücken spiegeln. Verifikation: Kernaussagen werden gegen die Theorie-Folien und den OnePager abgeglichen.</w:t>
      </w:r>
    </w:p>
    <w:p>
      <w:pPr>
        <w:pStyle w:val="Heading2"/>
        <w:spacing w:after="100" w:before="220"/>
      </w:pPr>
      <w:r>
        <w:rPr>
          <w:b/>
          <w:bCs/>
          <w:color w:val="1F4E79"/>
        </w:rPr>
        <w:t xml:space="preserve">Phase B – Prüfpartner Datenauswertung</w:t>
      </w:r>
    </w:p>
    <w:p>
      <w:pPr>
        <w:spacing w:after="120" w:line="276"/>
      </w:pPr>
      <w:r>
        <w:t>Ziel: Aus realen Daten den Genotyp ableiten. Die Studierenden bringen ihr Gelbild (oder ein bereitgestelltes Beispiel-Gel) und die Bandenlängen ein und formulieren zuerst selbst eine Interpretation: 640 bp = Kontrolle, 436 bp = Non-Taster-Allel, 281 bp = Taster-Allel, beide Allel-Banden = heterozygot. Erst danach dient die KI als Prüfpartner, der nach Begründungen fragt und Scheinlogiken aufdeckt. Bewusst eingebaut wird die Erfahrung, dass die KI Bandenlängen falsch zuordnen kann – die Studierenden müssen am eigenen Protokoll gegenprüfen.</w:t>
      </w:r>
    </w:p>
    <w:p>
      <w:pPr>
        <w:pStyle w:val="Heading2"/>
        <w:spacing w:after="100" w:before="220"/>
      </w:pPr>
      <w:r>
        <w:rPr>
          <w:b/>
          <w:bCs/>
          <w:color w:val="1F4E79"/>
        </w:rPr>
        <w:t xml:space="preserve">Phase C – Advocatus Diaboli: Genotyp → Phänotyp</w:t>
      </w:r>
    </w:p>
    <w:p>
      <w:pPr>
        <w:spacing w:after="120" w:line="276"/>
      </w:pPr>
      <w:r>
        <w:t xml:space="preserve">Ziel: Den naheliegenden Kurzschluss «mein Gen bestimmt, ob ich bitter schmecke» kritisch aufbrechen. Die KI übernimmt die Rolle des Advocatus Diaboli und verteidigt bewusst die Grenzen des Schlusses. Die Studierenden tragen Einflussfaktoren zusammen (weitere SNPs im Gen, andere Bitterrezeptoren, Konzentration/Substanz, Alter, Speichel, Erfahrung) und formulieren, was der Genotyp aussagt – und was nicht. Das trifft direkt das Dispositionsziel «kritisches Denken».</w:t>
      </w:r>
    </w:p>
    <w:p>
      <w:pPr>
        <w:pStyle w:val="Heading2"/>
        <w:spacing w:after="100" w:before="220"/>
      </w:pPr>
      <w:r>
        <w:rPr>
          <w:b/>
          <w:bCs/>
          <w:color w:val="1F4E79"/>
        </w:rPr>
        <w:t xml:space="preserve">Phase D – Debattenpartner Datenethik</w:t>
      </w:r>
    </w:p>
    <w:p>
      <w:pPr>
        <w:spacing w:after="120" w:line="276"/>
      </w:pPr>
      <w:r>
        <w:t xml:space="preserve">Ziel: Die gesellschaftliche Bedeutung fassen. Die KI vertritt eine Gegenposition zu Fragen wie: Was bedeutet es, seinen Genotyp zu kennen? Wem gehören genetische Daten? Wo hilft, wo verführt personalisierte Medizin? Die Studierenden beziehen begründet Stellung und müssen der KI standhalten. Das schliesst den Bogen zur Leitidee «Gesellschafts- und Zukunftsbedeutung».</w:t>
      </w:r>
    </w:p>
    <w:p>
      <w:pPr>
        <w:pStyle w:val="Heading1"/>
        <w:spacing w:after="140" w:before="320"/>
      </w:pPr>
      <w:r>
        <w:rPr>
          <w:b/>
          <w:bCs/>
          <w:color w:val="1F4E79"/>
        </w:rPr>
        <w:t xml:space="preserve">5  Ablaufplan (Richtwert ≈ 120 Min., modular)</w:t>
      </w:r>
    </w:p>
    <w:p>
      <w:pPr>
        <w:spacing w:after="120" w:line="276"/>
      </w:pPr>
      <w:r>
        <w:t xml:space="preserve">Die Zeiten sind Richtwerte für einen zusammenhängenden Block und lassen sich stauchen oder dehnen. Phasen B–D sind je ~25 Min. das Herzstück.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900"/>
        <w:gridCol w:w="3700"/>
      </w:tblGrid>
      <w:tr>
        <w:trPr>
          <w:tblHeader/>
        </w:trPr>
        <w:tc>
          <w:tcPr>
            <w:tcW w:type="dxa" w:w="1400"/>
            <w:shd w:fill="1F4E79" w:color="auto" w:val="clear"/>
            <w:tcMar>
              <w:top w:type="dxa" w:w="60"/>
              <w:left w:type="dxa" w:w="90"/>
              <w:bottom w:type="dxa" w:w="60"/>
              <w:right w:type="dxa" w:w="90"/>
            </w:tcMar>
          </w:tcPr>
          <w:p>
            <w:pPr>
              <w:spacing w:after="20" w:line="252"/>
            </w:pPr>
            <w:r>
              <w:rPr>
                <w:b/>
                <w:bCs/>
                <w:color w:val="FFFFFF"/>
              </w:rPr>
              <w:t xml:space="preserve">Zeit</w:t>
            </w:r>
          </w:p>
        </w:tc>
        <w:tc>
          <w:tcPr>
            <w:tcW w:type="dxa" w:w="3900"/>
            <w:shd w:fill="1F4E79" w:color="auto" w:val="clear"/>
            <w:tcMar>
              <w:top w:type="dxa" w:w="60"/>
              <w:left w:type="dxa" w:w="90"/>
              <w:bottom w:type="dxa" w:w="60"/>
              <w:right w:type="dxa" w:w="90"/>
            </w:tcMar>
          </w:tcPr>
          <w:p>
            <w:pPr>
              <w:spacing w:after="20" w:line="252"/>
            </w:pPr>
            <w:r>
              <w:rPr>
                <w:b/>
                <w:bCs/>
                <w:color w:val="FFFFFF"/>
              </w:rPr>
              <w:t xml:space="preserve">Phase &amp; Aktivität</w:t>
            </w:r>
          </w:p>
        </w:tc>
        <w:tc>
          <w:tcPr>
            <w:tcW w:type="dxa" w:w="3700"/>
            <w:shd w:fill="1F4E79" w:color="auto" w:val="clear"/>
            <w:tcMar>
              <w:top w:type="dxa" w:w="60"/>
              <w:left w:type="dxa" w:w="90"/>
              <w:bottom w:type="dxa" w:w="60"/>
              <w:right w:type="dxa" w:w="90"/>
            </w:tcMar>
          </w:tcPr>
          <w:p>
            <w:pPr>
              <w:spacing w:after="20" w:line="252"/>
            </w:pPr>
            <w:r>
              <w:rPr>
                <w:b/>
                <w:bCs/>
                <w:color w:val="FFFFFF"/>
              </w:rPr>
              <w:t xml:space="preserve">Rolle Lehrperson</w:t>
            </w:r>
          </w:p>
        </w:tc>
      </w:tr>
      <w:tr>
        <w:tc>
          <w:tcPr>
            <w:tcW w:type="dxa" w:w="1400"/>
            <w:shd w:fill="F2F2F2" w:color="auto" w:val="clear"/>
            <w:tcMar>
              <w:top w:type="dxa" w:w="60"/>
              <w:left w:type="dxa" w:w="90"/>
              <w:bottom w:type="dxa" w:w="60"/>
              <w:right w:type="dxa" w:w="90"/>
            </w:tcMar>
          </w:tcPr>
          <w:p>
            <w:pPr>
              <w:spacing w:after="20" w:line="252"/>
            </w:pPr>
            <w:r>
              <w:rPr>
                <w:b w:val="false"/>
                <w:bCs w:val="false"/>
                <w:color w:val="000000"/>
              </w:rPr>
              <w:t xml:space="preserve">0:00–0:10</w:t>
            </w:r>
          </w:p>
        </w:tc>
        <w:tc>
          <w:tcPr>
            <w:tcW w:type="dxa" w:w="3900"/>
            <w:shd w:fill="F2F2F2" w:color="auto" w:val="clear"/>
            <w:tcMar>
              <w:top w:type="dxa" w:w="60"/>
              <w:left w:type="dxa" w:w="90"/>
              <w:bottom w:type="dxa" w:w="60"/>
              <w:right w:type="dxa" w:w="90"/>
            </w:tcMar>
          </w:tcPr>
          <w:p>
            <w:pPr>
              <w:spacing w:after="0"/>
            </w:pPr>
            <w:r>
              <w:rPr>
                <w:b/>
                <w:bCs/>
              </w:rPr>
              <w:t xml:space="preserve">Einstieg (Plenum). </w:t>
            </w:r>
            <w:r>
              <w:t xml:space="preserve">Anknüpfen an eigenes Ergebnis: «Taster oder nicht?» Spielregeln &amp; KI-Auftrag klären.</w:t>
            </w:r>
          </w:p>
        </w:tc>
        <w:tc>
          <w:tcPr>
            <w:tcW w:type="dxa" w:w="3700"/>
            <w:shd w:fill="F2F2F2" w:color="auto" w:val="clear"/>
            <w:tcMar>
              <w:top w:type="dxa" w:w="60"/>
              <w:left w:type="dxa" w:w="90"/>
              <w:bottom w:type="dxa" w:w="60"/>
              <w:right w:type="dxa" w:w="90"/>
            </w:tcMar>
          </w:tcPr>
          <w:p>
            <w:pPr>
              <w:spacing w:after="20" w:line="252"/>
            </w:pPr>
            <w:r>
              <w:rPr>
                <w:b w:val="false"/>
                <w:bCs w:val="false"/>
                <w:color w:val="000000"/>
              </w:rPr>
              <w:t xml:space="preserve">Aufgelockert-frontal, kurz halten; Neugier wecken.</w:t>
            </w:r>
          </w:p>
        </w:tc>
      </w:tr>
      <w:tr>
        <w:tc>
          <w:tcPr>
            <w:tcW w:type="dxa" w:w="1400"/>
            <w:tcMar>
              <w:top w:type="dxa" w:w="60"/>
              <w:left w:type="dxa" w:w="90"/>
              <w:bottom w:type="dxa" w:w="60"/>
              <w:right w:type="dxa" w:w="90"/>
            </w:tcMar>
          </w:tcPr>
          <w:p>
            <w:pPr>
              <w:spacing w:after="20" w:line="252"/>
            </w:pPr>
            <w:r>
              <w:rPr>
                <w:b w:val="false"/>
                <w:bCs w:val="false"/>
                <w:color w:val="000000"/>
              </w:rPr>
              <w:t xml:space="preserve">0:10–0:30</w:t>
            </w:r>
          </w:p>
        </w:tc>
        <w:tc>
          <w:tcPr>
            <w:tcW w:type="dxa" w:w="3900"/>
            <w:tcMar>
              <w:top w:type="dxa" w:w="60"/>
              <w:left w:type="dxa" w:w="90"/>
              <w:bottom w:type="dxa" w:w="60"/>
              <w:right w:type="dxa" w:w="90"/>
            </w:tcMar>
          </w:tcPr>
          <w:p>
            <w:pPr>
              <w:spacing w:after="0"/>
            </w:pPr>
            <w:r>
              <w:rPr>
                <w:b/>
                <w:bCs/>
              </w:rPr>
              <w:t xml:space="preserve">Phase A – Sokratischer PCR-Tutor. </w:t>
            </w:r>
            <w:r>
              <w:t xml:space="preserve">KI prüft Methodenverständnis; Abgleich mit Folien.</w:t>
            </w:r>
          </w:p>
        </w:tc>
        <w:tc>
          <w:tcPr>
            <w:tcW w:type="dxa" w:w="3700"/>
            <w:tcMar>
              <w:top w:type="dxa" w:w="60"/>
              <w:left w:type="dxa" w:w="90"/>
              <w:bottom w:type="dxa" w:w="60"/>
              <w:right w:type="dxa" w:w="90"/>
            </w:tcMar>
          </w:tcPr>
          <w:p>
            <w:pPr>
              <w:spacing w:after="20" w:line="252"/>
            </w:pPr>
            <w:r>
              <w:rPr>
                <w:b w:val="false"/>
                <w:bCs w:val="false"/>
                <w:color w:val="000000"/>
              </w:rPr>
              <w:t xml:space="preserve">Begleitend, punktuell; bei Erkenntnis loben.</w:t>
            </w:r>
          </w:p>
        </w:tc>
      </w:tr>
      <w:tr>
        <w:tc>
          <w:tcPr>
            <w:tcW w:type="dxa" w:w="1400"/>
            <w:shd w:fill="F2F2F2" w:color="auto" w:val="clear"/>
            <w:tcMar>
              <w:top w:type="dxa" w:w="60"/>
              <w:left w:type="dxa" w:w="90"/>
              <w:bottom w:type="dxa" w:w="60"/>
              <w:right w:type="dxa" w:w="90"/>
            </w:tcMar>
          </w:tcPr>
          <w:p>
            <w:pPr>
              <w:spacing w:after="20" w:line="252"/>
            </w:pPr>
            <w:r>
              <w:rPr>
                <w:b w:val="false"/>
                <w:bCs w:val="false"/>
                <w:color w:val="000000"/>
              </w:rPr>
              <w:t xml:space="preserve">0:30–0:55</w:t>
            </w:r>
          </w:p>
        </w:tc>
        <w:tc>
          <w:tcPr>
            <w:tcW w:type="dxa" w:w="3900"/>
            <w:shd w:fill="F2F2F2" w:color="auto" w:val="clear"/>
            <w:tcMar>
              <w:top w:type="dxa" w:w="60"/>
              <w:left w:type="dxa" w:w="90"/>
              <w:bottom w:type="dxa" w:w="60"/>
              <w:right w:type="dxa" w:w="90"/>
            </w:tcMar>
          </w:tcPr>
          <w:p>
            <w:pPr>
              <w:spacing w:after="0"/>
            </w:pPr>
            <w:r>
              <w:rPr>
                <w:b/>
                <w:bCs/>
              </w:rPr>
              <w:t xml:space="preserve">Phase B – Datenauswertung. </w:t>
            </w:r>
            <w:r>
              <w:t xml:space="preserve">Eigene Interpretation zuerst, dann KI als Prüfpartner; Verifikation am Protokoll.</w:t>
            </w:r>
          </w:p>
        </w:tc>
        <w:tc>
          <w:tcPr>
            <w:tcW w:type="dxa" w:w="3700"/>
            <w:shd w:fill="F2F2F2" w:color="auto" w:val="clear"/>
            <w:tcMar>
              <w:top w:type="dxa" w:w="60"/>
              <w:left w:type="dxa" w:w="90"/>
              <w:bottom w:type="dxa" w:w="60"/>
              <w:right w:type="dxa" w:w="90"/>
            </w:tcMar>
          </w:tcPr>
          <w:p>
            <w:pPr>
              <w:spacing w:after="20" w:line="252"/>
            </w:pPr>
            <w:r>
              <w:rPr>
                <w:b w:val="false"/>
                <w:bCs w:val="false"/>
                <w:color w:val="000000"/>
              </w:rPr>
              <w:t xml:space="preserve">Beobachten, wo Bandenlogik kippt; nicht vorwegnehmen.</w:t>
            </w:r>
          </w:p>
        </w:tc>
      </w:tr>
      <w:tr>
        <w:tc>
          <w:tcPr>
            <w:tcW w:type="dxa" w:w="1400"/>
            <w:tcMar>
              <w:top w:type="dxa" w:w="60"/>
              <w:left w:type="dxa" w:w="90"/>
              <w:bottom w:type="dxa" w:w="60"/>
              <w:right w:type="dxa" w:w="90"/>
            </w:tcMar>
          </w:tcPr>
          <w:p>
            <w:pPr>
              <w:spacing w:after="20" w:line="252"/>
            </w:pPr>
            <w:r>
              <w:rPr>
                <w:b w:val="false"/>
                <w:bCs w:val="false"/>
                <w:color w:val="000000"/>
              </w:rPr>
              <w:t xml:space="preserve">0:55–1:20</w:t>
            </w:r>
          </w:p>
        </w:tc>
        <w:tc>
          <w:tcPr>
            <w:tcW w:type="dxa" w:w="3900"/>
            <w:tcMar>
              <w:top w:type="dxa" w:w="60"/>
              <w:left w:type="dxa" w:w="90"/>
              <w:bottom w:type="dxa" w:w="60"/>
              <w:right w:type="dxa" w:w="90"/>
            </w:tcMar>
          </w:tcPr>
          <w:p>
            <w:pPr>
              <w:spacing w:after="0"/>
            </w:pPr>
            <w:r>
              <w:rPr>
                <w:b/>
                <w:bCs/>
              </w:rPr>
              <w:t xml:space="preserve">Phase C – Genotyp→Phänotyp. </w:t>
            </w:r>
            <w:r>
              <w:t xml:space="preserve">KI als Advocatus Diaboli; Einflussfaktoren &amp; Grenzen sammeln.</w:t>
            </w:r>
          </w:p>
        </w:tc>
        <w:tc>
          <w:tcPr>
            <w:tcW w:type="dxa" w:w="3700"/>
            <w:tcMar>
              <w:top w:type="dxa" w:w="60"/>
              <w:left w:type="dxa" w:w="90"/>
              <w:bottom w:type="dxa" w:w="60"/>
              <w:right w:type="dxa" w:w="90"/>
            </w:tcMar>
          </w:tcPr>
          <w:p>
            <w:pPr>
              <w:spacing w:after="20" w:line="252"/>
            </w:pPr>
            <w:r>
              <w:rPr>
                <w:b w:val="false"/>
                <w:bCs w:val="false"/>
                <w:color w:val="000000"/>
              </w:rPr>
              <w:t xml:space="preserve">Impulse nur bei Stillstand; Diskussion offen lassen.</w:t>
            </w:r>
          </w:p>
        </w:tc>
      </w:tr>
      <w:tr>
        <w:tc>
          <w:tcPr>
            <w:tcW w:type="dxa" w:w="1400"/>
            <w:shd w:fill="F2F2F2" w:color="auto" w:val="clear"/>
            <w:tcMar>
              <w:top w:type="dxa" w:w="60"/>
              <w:left w:type="dxa" w:w="90"/>
              <w:bottom w:type="dxa" w:w="60"/>
              <w:right w:type="dxa" w:w="90"/>
            </w:tcMar>
          </w:tcPr>
          <w:p>
            <w:pPr>
              <w:spacing w:after="20" w:line="252"/>
            </w:pPr>
            <w:r>
              <w:rPr>
                <w:b w:val="false"/>
                <w:bCs w:val="false"/>
                <w:color w:val="000000"/>
              </w:rPr>
              <w:t xml:space="preserve">1:20–1:45</w:t>
            </w:r>
          </w:p>
        </w:tc>
        <w:tc>
          <w:tcPr>
            <w:tcW w:type="dxa" w:w="3900"/>
            <w:shd w:fill="F2F2F2" w:color="auto" w:val="clear"/>
            <w:tcMar>
              <w:top w:type="dxa" w:w="60"/>
              <w:left w:type="dxa" w:w="90"/>
              <w:bottom w:type="dxa" w:w="60"/>
              <w:right w:type="dxa" w:w="90"/>
            </w:tcMar>
          </w:tcPr>
          <w:p>
            <w:pPr>
              <w:spacing w:after="0"/>
            </w:pPr>
            <w:r>
              <w:rPr>
                <w:b/>
                <w:bCs/>
              </w:rPr>
              <w:t xml:space="preserve">Phase D – Datenethik. </w:t>
            </w:r>
            <w:r>
              <w:t xml:space="preserve">Debatte gegen die KI-Gegenposition; begründet Stellung beziehen.</w:t>
            </w:r>
          </w:p>
        </w:tc>
        <w:tc>
          <w:tcPr>
            <w:tcW w:type="dxa" w:w="3700"/>
            <w:shd w:fill="F2F2F2" w:color="auto" w:val="clear"/>
            <w:tcMar>
              <w:top w:type="dxa" w:w="60"/>
              <w:left w:type="dxa" w:w="90"/>
              <w:bottom w:type="dxa" w:w="60"/>
              <w:right w:type="dxa" w:w="90"/>
            </w:tcMar>
          </w:tcPr>
          <w:p>
            <w:pPr>
              <w:spacing w:after="20" w:line="252"/>
            </w:pPr>
            <w:r>
              <w:rPr>
                <w:b w:val="false"/>
                <w:bCs w:val="false"/>
                <w:color w:val="000000"/>
              </w:rPr>
              <w:t xml:space="preserve">Moderierend zurückhaltend; Positionen zulassen.</w:t>
            </w:r>
          </w:p>
        </w:tc>
      </w:tr>
      <w:tr>
        <w:tc>
          <w:tcPr>
            <w:tcW w:type="dxa" w:w="1400"/>
            <w:tcMar>
              <w:top w:type="dxa" w:w="60"/>
              <w:left w:type="dxa" w:w="90"/>
              <w:bottom w:type="dxa" w:w="60"/>
              <w:right w:type="dxa" w:w="90"/>
            </w:tcMar>
          </w:tcPr>
          <w:p>
            <w:pPr>
              <w:spacing w:after="20" w:line="252"/>
            </w:pPr>
            <w:r>
              <w:rPr>
                <w:b w:val="false"/>
                <w:bCs w:val="false"/>
                <w:color w:val="000000"/>
              </w:rPr>
              <w:t xml:space="preserve">1:45–2:00</w:t>
            </w:r>
          </w:p>
        </w:tc>
        <w:tc>
          <w:tcPr>
            <w:tcW w:type="dxa" w:w="3900"/>
            <w:tcMar>
              <w:top w:type="dxa" w:w="60"/>
              <w:left w:type="dxa" w:w="90"/>
              <w:bottom w:type="dxa" w:w="60"/>
              <w:right w:type="dxa" w:w="90"/>
            </w:tcMar>
          </w:tcPr>
          <w:p>
            <w:pPr>
              <w:spacing w:after="0"/>
            </w:pPr>
            <w:r>
              <w:rPr>
                <w:b/>
                <w:bCs/>
              </w:rPr>
              <w:t xml:space="preserve">Sicherung &amp; Reflexion (Plenum). </w:t>
            </w:r>
            <w:r>
              <w:t xml:space="preserve">Kernergebnisse bündeln; KI-Nutzung reflektieren: Wo half sie, wo täuschte sie?</w:t>
            </w:r>
          </w:p>
        </w:tc>
        <w:tc>
          <w:tcPr>
            <w:tcW w:type="dxa" w:w="3700"/>
            <w:tcMar>
              <w:top w:type="dxa" w:w="60"/>
              <w:left w:type="dxa" w:w="90"/>
              <w:bottom w:type="dxa" w:w="60"/>
              <w:right w:type="dxa" w:w="90"/>
            </w:tcMar>
          </w:tcPr>
          <w:p>
            <w:pPr>
              <w:spacing w:after="20" w:line="252"/>
            </w:pPr>
            <w:r>
              <w:rPr>
                <w:b w:val="false"/>
                <w:bCs w:val="false"/>
                <w:color w:val="000000"/>
              </w:rPr>
              <w:t xml:space="preserve">Zusammenführen, Erkenntnisse würdigen.</w:t>
            </w:r>
          </w:p>
        </w:tc>
      </w:tr>
    </w:tbl>
    <w:p>
      <w:pPr>
        <w:pStyle w:val="Heading1"/>
        <w:spacing w:after="140" w:before="320"/>
      </w:pPr>
      <w:r>
        <w:rPr>
          <w:b/>
          <w:bCs/>
          <w:color w:val="1F4E79"/>
        </w:rPr>
        <w:t xml:space="preserve">6  Umgang mit der KI – Leitplanken</w:t>
      </w:r>
    </w:p>
    <w:p>
      <w:pPr>
        <w:pStyle w:val="ListParagraph"/>
        <w:numPr>
          <w:ilvl w:val="0"/>
          <w:numId w:val="1"/>
        </w:numPr>
        <w:spacing w:after="60" w:line="264"/>
      </w:pPr>
      <w:r>
        <w:rPr>
          <w:b/>
          <w:bCs/>
        </w:rPr>
        <w:t xml:space="preserve">Rollen-Prompts statt Fragen. </w:t>
      </w:r>
      <w:r>
        <w:t xml:space="preserve">Für jede Phase erhalten die Studierenden einen vorformulierten «Rollen-Auftrag» an die KI (Tutor / Prüfpartner / Advocatus Diaboli / Debattenpartner). Das steuert das Verhalten weg vom blossen Lösungsausspucken.</w:t>
      </w:r>
    </w:p>
    <w:p>
      <w:pPr>
        <w:pStyle w:val="ListParagraph"/>
        <w:numPr>
          <w:ilvl w:val="0"/>
          <w:numId w:val="1"/>
        </w:numPr>
        <w:spacing w:after="60" w:line="264"/>
      </w:pPr>
      <w:r>
        <w:rPr>
          <w:b/>
          <w:bCs/>
        </w:rPr>
        <w:t xml:space="preserve">Belegpflicht. </w:t>
      </w:r>
      <w:r>
        <w:t xml:space="preserve">Studierende dokumentieren pro Phase: Prompt, KI-Antwort, eigene Prüfung/Korrektur. Dieses «KI-Protokoll» ist zugleich Reflexions- und möglicher Leistungsnachweis.</w:t>
      </w:r>
    </w:p>
    <w:p>
      <w:pPr>
        <w:pStyle w:val="ListParagraph"/>
        <w:numPr>
          <w:ilvl w:val="0"/>
          <w:numId w:val="1"/>
        </w:numPr>
        <w:spacing w:after="60" w:line="264"/>
      </w:pPr>
      <w:r>
        <w:rPr>
          <w:b/>
          <w:bCs/>
        </w:rPr>
        <w:t xml:space="preserve">Tool-Unabhängigkeit &amp; Datenschutz. </w:t>
      </w:r>
      <w:r>
        <w:t xml:space="preserve">Der Block funktioniert mit jedem gängigen Chatbot; keine Spezialsoftware nötig. Keine echten Namen zu Genotypen eingeben.</w:t>
      </w:r>
    </w:p>
    <w:p>
      <w:pPr>
        <w:pStyle w:val="Heading1"/>
        <w:spacing w:after="140" w:before="320"/>
      </w:pPr>
      <w:r>
        <w:rPr>
          <w:b/>
          <w:bCs/>
          <w:color w:val="1F4E79"/>
        </w:rPr>
        <w:t xml:space="preserve">7  Leistungsnachweis (optional)</w:t>
      </w:r>
    </w:p>
    <w:p>
      <w:pPr>
        <w:spacing w:after="120" w:line="276"/>
      </w:pPr>
      <w:r>
        <w:t xml:space="preserve">Passend zum Grundsatz «Prozess vor Produkt» eignet sich das KI-Protokoll als transparenter, kriteriengeleiteter Nachweis. Mögliche Kriterien (mit dem Skript harmonisiert): Korrektheit der Genotyp-Ableitung, Qualität der Verifikation von KI-Aussagen, Substanz der genannten Genotyp-Phänotyp-Grenzen, Begründungstiefe in der Ethik-Debatte. Bewertung nach dem üblichen 1–6-Raster – bei Bedarf baue ich ein Bewertungsraster.</w:t>
      </w:r>
    </w:p>
    <w:p>
      <w:pPr>
        <w:pStyle w:val="Heading1"/>
        <w:spacing w:after="140" w:before="320"/>
      </w:pPr>
      <w:r>
        <w:rPr>
          <w:b/>
          <w:bCs/>
          <w:color w:val="1F4E79"/>
        </w:rPr>
        <w:t xml:space="preserve">8  Nächste Schritte – was ich als Material erstelle</w:t>
      </w:r>
    </w:p>
    <w:p>
      <w:pPr>
        <w:spacing w:after="120" w:line="276"/>
      </w:pPr>
      <w:r>
        <w:t xml:space="preserve">Sobald das Konzept passt, baue ich das einsatzfertige Paket:</w:t>
      </w:r>
    </w:p>
    <w:p>
      <w:pPr>
        <w:pStyle w:val="ListParagraph"/>
        <w:numPr>
          <w:ilvl w:val="0"/>
          <w:numId w:val="1"/>
        </w:numPr>
        <w:spacing w:after="60" w:line="264"/>
      </w:pPr>
      <w:r>
        <w:t xml:space="preserve">Arbeitsblatt / Laufzettel für die Studierenden mit den vier Phasen und dem KI-Protokoll;</w:t>
      </w:r>
    </w:p>
    <w:p>
      <w:pPr>
        <w:pStyle w:val="ListParagraph"/>
        <w:numPr>
          <w:ilvl w:val="0"/>
          <w:numId w:val="1"/>
        </w:numPr>
        <w:spacing w:after="60" w:line="264"/>
      </w:pPr>
      <w:r>
        <w:t xml:space="preserve">die vier fertigen Rollen-Prompts (Tutor, Prüfpartner, Advocatus Diaboli, Debattenpartner) zum Kopieren;</w:t>
      </w:r>
    </w:p>
    <w:p>
      <w:pPr>
        <w:pStyle w:val="ListParagraph"/>
        <w:numPr>
          <w:ilvl w:val="0"/>
          <w:numId w:val="1"/>
        </w:numPr>
        <w:spacing w:after="60" w:line="264"/>
      </w:pPr>
      <w:r>
        <w:t xml:space="preserve">ein Beispiel-Gelbild mit Musterlösung für Phase B (falls eigene Gele fehlen);</w:t>
      </w:r>
    </w:p>
    <w:p>
      <w:pPr>
        <w:pStyle w:val="ListParagraph"/>
        <w:numPr>
          <w:ilvl w:val="0"/>
          <w:numId w:val="1"/>
        </w:numPr>
        <w:spacing w:after="60" w:line="264"/>
      </w:pPr>
      <w:r>
        <w:t xml:space="preserve">eine kurze Handreichung für dich (Timing, Stolpersteine, Moderationsimpulse) und optional ein Bewertungsraster.</w:t>
      </w:r>
    </w:p>
    <w:p>
      <w:pPr>
        <w:spacing w:after="120" w:line="276"/>
      </w:pPr>
      <w:r>
        <w:rPr>
          <w:i/>
          <w:iCs/>
        </w:rPr>
        <w:t xml:space="preserve">Sag mir, was du am Konzept anpassen möchtest – danach lege ich mit den Materialien los.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2026-07-11T15:01:03.579Z</dcterms:created>
  <dcterms:modified xsi:type="dcterms:W3CDTF">2026-07-11T15:01:03.579Z</dcterms:modified>
</cp:coreProperties>
</file>

<file path=docProps/custom.xml><?xml version="1.0" encoding="utf-8"?>
<Properties xmlns="http://schemas.openxmlformats.org/officeDocument/2006/custom-properties" xmlns:vt="http://schemas.openxmlformats.org/officeDocument/2006/docPropsVTypes"/>
</file>