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5B6472"/>
          <w:sz w:val="16"/>
          <w:szCs w:val="16"/>
        </w:rPr>
        <w:t xml:space="preserve">Schwerpunktfach Chemie · SPF-Tage</w:t>
      </w:r>
    </w:p>
    <w:p>
      <w:pPr>
        <w:spacing w:after="40"/>
      </w:pPr>
      <w:r>
        <w:rPr>
          <w:b/>
          <w:bCs/>
          <w:color w:val="0F3D2E"/>
          <w:sz w:val="36"/>
          <w:szCs w:val="36"/>
        </w:rPr>
        <w:t xml:space="preserve">KI-Aktivität «Bitterrezeptoren – Theorie»</w:t>
      </w:r>
    </w:p>
    <w:p>
      <w:pPr>
        <w:pBdr>
          <w:bottom w:val="single" w:color="1D9E75" w:sz="12" w:space="6"/>
        </w:pBdr>
        <w:spacing w:after="200"/>
      </w:pPr>
      <w:r>
        <w:rPr>
          <w:i/>
          <w:iCs/>
          <w:color w:val="5B6472"/>
          <w:sz w:val="22"/>
          <w:szCs w:val="22"/>
        </w:rPr>
        <w:t xml:space="preserve">Didaktisches Konzept &amp; Ablaufplan für einen eigenständigen KI-Theorieblock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Kurzbeschrieb:</w:t>
      </w:r>
      <w:r>
        <w:rPr>
          <w:color w:val="1A1A1A"/>
          <w:sz w:val="21"/>
          <w:szCs w:val="21"/>
        </w:rPr>
        <w:t xml:space="preserve"> Ein in sich geschlossener Block am Donnerstagnachmittag, in dem die Studierenden Künstliche Intelligenz als kognitives Werkzeug einsetzen, um die Theorie hinter dem Bitterrezeptor TAS2R38 selbst zu erarbeiten – vom molekularen Bau der Bitterstoffe über den Rezeptor bis zum Genotyp. Der Block bereitet das PCR-Labor am Freitag inhaltlich vor, steht aber didaktisch auf eigenen Beinen.</w:t>
      </w:r>
    </w:p>
    <w:p>
      <w:pPr>
        <w:pStyle w:val="Heading1"/>
        <w:spacing w:after="100" w:before="240"/>
      </w:pPr>
      <w:r>
        <w:rPr>
          <w:b/>
          <w:bCs/>
          <w:color w:val="1D9E75"/>
          <w:sz w:val="26"/>
          <w:szCs w:val="26"/>
        </w:rPr>
        <w:t xml:space="preserve">1  Ausgangslage &amp; Einordnung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Am Donnerstagnachmittag läuft die Theorie: dieser Block zur Molekül- und Rezeptor-Ebene sowie die Theorie zur PCR. Am Freitag folgt das PCR-Labor mit Hands-on-Genotypisierung. Dieser Block liefert damit das «Warum» hinter den Banden, die am Freitag im Gel erscheinen.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Didaktischer Kern ist ein durchgehender Kausalbogen, den die Studierenden selbst aufbauen: </w:t>
      </w:r>
      <w:r>
        <w:rPr>
          <w:b/>
          <w:bCs/>
          <w:color w:val="1A1A1A"/>
          <w:sz w:val="21"/>
          <w:szCs w:val="21"/>
        </w:rPr>
        <w:t xml:space="preserve">Molekülstruktur des Bitterstoffs → Bindetasche im Rezeptor → Aminosäure-Variante → Genotyp → (Freitag) Gelbande.</w:t>
      </w:r>
      <w:r>
        <w:rPr>
          <w:color w:val="1A1A1A"/>
          <w:sz w:val="21"/>
          <w:szCs w:val="21"/>
        </w:rPr>
        <w:t xml:space="preserve"> Als Motor dient die persönliche Betroffenheit: «Warum schmecke gerade ich das – oder eben nicht?»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Wichtig:</w:t>
      </w:r>
      <w:r>
        <w:rPr>
          <w:color w:val="1A1A1A"/>
          <w:sz w:val="21"/>
          <w:szCs w:val="21"/>
        </w:rPr>
        <w:t xml:space="preserve"> Inhaltlich bleibt der Block eng an den kuratierten Unterlagen im Ordner (Skript «Organische Chemie», Doku TAS2R38, SNP-Artikel). Die KI ersetzt kein Material, sondern zwingt zum aktiven Umgang damit. Wo Inhalte über das Skript hinausreichen (Thioharnstoff, Thioamid, Sulfat-Ester, C=N), werden sie ausdrücklich als Transfer/Analogie zu bereits behandeltem Stoff gekennzeichnet – der kuratierte Rahmen bleibt gewahrt.</w:t>
      </w:r>
    </w:p>
    <w:p>
      <w:pPr>
        <w:pStyle w:val="Heading1"/>
        <w:spacing w:after="100" w:before="240"/>
      </w:pPr>
      <w:r>
        <w:rPr>
          <w:b/>
          <w:bCs/>
          <w:color w:val="1D9E75"/>
          <w:sz w:val="26"/>
          <w:szCs w:val="26"/>
        </w:rPr>
        <w:t xml:space="preserve">2  Leitidee &amp; didaktische Haltung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Die KI wird nicht als Abkürzung zur richtigen Antwort eingesetzt, sondern als Gegenüber, das zum Denken zwingt. Vier Grundsätze tragen den Block: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1A1A1A"/>
          <w:sz w:val="21"/>
          <w:szCs w:val="21"/>
        </w:rPr>
        <w:t xml:space="preserve">Prozess vor Produkt.</w:t>
      </w:r>
      <w:r>
        <w:rPr>
          <w:color w:val="1A1A1A"/>
          <w:sz w:val="21"/>
          <w:szCs w:val="21"/>
        </w:rPr>
        <w:t xml:space="preserve"> Bewertet und besprochen wird, wie die Studierenden mit der KI ringen – nicht das polierte Endergebnis. Fehler und Korrekturen sind erwünscht.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1A1A1A"/>
          <w:sz w:val="21"/>
          <w:szCs w:val="21"/>
        </w:rPr>
        <w:t xml:space="preserve">KI in einer klaren Rolle.</w:t>
      </w:r>
      <w:r>
        <w:rPr>
          <w:color w:val="1A1A1A"/>
          <w:sz w:val="21"/>
          <w:szCs w:val="21"/>
        </w:rPr>
        <w:t xml:space="preserve"> In jeder Phase bekommt die KI eine definierte Funktion (Tutor, Prüfpartner, Advocatus Diaboli, Synthese-Partner). Das verhindert das blosse Abholen von Lösungen.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1A1A1A"/>
          <w:sz w:val="21"/>
          <w:szCs w:val="21"/>
        </w:rPr>
        <w:t xml:space="preserve">Verifikation als Pflicht.</w:t>
      </w:r>
      <w:r>
        <w:rPr>
          <w:color w:val="1A1A1A"/>
          <w:sz w:val="21"/>
          <w:szCs w:val="21"/>
        </w:rPr>
        <w:t xml:space="preserve"> Jede KI-Aussage wird gegen Skript und Doku geprüft. Dass die KI Strukturen falsch beschreiben oder Bindungspartner erfinden kann, ist Teil der Lernerfahrung.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1A1A1A"/>
          <w:sz w:val="21"/>
          <w:szCs w:val="21"/>
        </w:rPr>
        <w:t xml:space="preserve">Skript-Treue.</w:t>
      </w:r>
      <w:r>
        <w:rPr>
          <w:color w:val="1A1A1A"/>
          <w:sz w:val="21"/>
          <w:szCs w:val="21"/>
        </w:rPr>
        <w:t xml:space="preserve"> Funktionelle Gruppen werden am Skript verankert; darüber hinausgehende Motive werden als Analogie behandelt (C=S ↔ C=O, Sulfat-Ester ↔ Carbonsäure-Ester, Amid/Peptidbindung), nicht als neuer Stoff eingeführt.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Der Block folgt bewusst dem Übergang von passivem zu aktivem, konstruktivem und interaktivem Lernen. Die Sprechzeit der Lehrperson ist minimal; die Aha-Momente bleiben bei den Studierenden.</w:t>
      </w:r>
    </w:p>
    <w:p>
      <w:pPr>
        <w:pStyle w:val="Heading1"/>
        <w:spacing w:after="100" w:before="240"/>
      </w:pPr>
      <w:r>
        <w:rPr>
          <w:b/>
          <w:bCs/>
          <w:color w:val="1D9E75"/>
          <w:sz w:val="26"/>
          <w:szCs w:val="26"/>
        </w:rPr>
        <w:t xml:space="preserve">3  Lernziele des KI-Blocks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Die Ziele sind aus den kuratierten Unterlagen abgeleitet und gehen nicht darüber hinaus. Am Ende des Blocks können die Studierenden: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 xml:space="preserve">in ausgewählten Bitterstoffen (von PTC bis Amarogentin) die funktionellen Gruppen erkennen und benennen, gestützt auf die im Skript behandelten Stoffklassen;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 xml:space="preserve">das gemeinsame N–C=S-Motiv der Thio-Bitterstoffe erkennen und die Analogie C=S ↔ C=O über Elektronegativität, Bindungspolarität und Wasserstoffbrücken herleiten;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 xml:space="preserve">den prinzipiellen Bau eines G-Protein-gekoppelten Rezeptors (sieben Transmembran-Helices) und die Bindung eines Bitterstoffs in der orthosterischen Tasche beschreiben, inklusive der Wasserstoffbrücke des Schwefels zu Asn103 (und Tyr193);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 xml:space="preserve">den Kausalbogen von der Molekülstruktur über die Bindetasche und die Aminosäure-Variante (Haplotypen PAV/AVI) bis zum Genotyp schlüssig darstellen und mindestens zwei Grenzen des Schlusses vom Genotyp auf die Wahrnehmung benennen;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A1A1A"/>
          <w:sz w:val="21"/>
          <w:szCs w:val="21"/>
        </w:rPr>
        <w:t xml:space="preserve">Nutzen und Grenzen von KI-Antworten im naturwissenschaftlichen Arbeiten reflektieren und Aussagen eigenständig verifizieren.</w:t>
      </w:r>
    </w:p>
    <w:p>
      <w:pPr>
        <w:pStyle w:val="Heading1"/>
        <w:spacing w:after="100" w:before="240"/>
      </w:pPr>
      <w:r>
        <w:rPr>
          <w:b/>
          <w:bCs/>
          <w:color w:val="1D9E75"/>
          <w:sz w:val="26"/>
          <w:szCs w:val="26"/>
        </w:rPr>
        <w:t xml:space="preserve">4  Aufbau: vier Phasen, eine Erkenntnistreppe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Der Block durchläuft vier Phasen, die auf vier KI-Rollen beruhen und didaktisch aufeinander aufbauen – vom Verstehen bis zum Werten. Empfohlen wird der sequenzielle Durchlauf mit der ganzen Klasse; alternativ als rotierende Gruppenstationen.</w:t>
      </w:r>
    </w:p>
    <w:tbl>
      <w:tblPr>
        <w:tblW w:type="dxa" w:w="960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E5E7EB" w:sz="4"/>
          <w:insideV w:val="single" w:color="E5E7EB" w:sz="4"/>
        </w:tblBorders>
      </w:tblPr>
      <w:tblGrid>
        <w:gridCol w:w="1000"/>
        <w:gridCol w:w="2450"/>
        <w:gridCol w:w="4350"/>
        <w:gridCol w:w="1800"/>
      </w:tblGrid>
      <w:tr>
        <w:trPr>
          <w:tblHeader/>
        </w:trPr>
        <w:tc>
          <w:tcPr>
            <w:tcW w:type="dxa" w:w="1000"/>
            <w:shd w:fill="1D9E7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50"/>
            <w:shd w:fill="1D9E7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KI-Rolle</w:t>
            </w:r>
          </w:p>
        </w:tc>
        <w:tc>
          <w:tcPr>
            <w:tcW w:type="dxa" w:w="4350"/>
            <w:shd w:fill="1D9E7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Was die Studierenden tun</w:t>
            </w:r>
          </w:p>
        </w:tc>
        <w:tc>
          <w:tcPr>
            <w:tcW w:type="dxa" w:w="1800"/>
            <w:shd w:fill="1D9E7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Kognitive Stufe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Sokratischer Struktur-Tutor</w:t>
            </w:r>
          </w:p>
        </w:tc>
        <w:tc>
          <w:tcPr>
            <w:tcW w:type="dxa" w:w="4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Lassen sich zu funktionellen Gruppen in Bitterstoffen abfragen (PTC einfach → Amarogentin komplex); erklären der KI die Stoffklassen und lassen Lücken aufdecken.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Verstehen</w:t>
            </w:r>
          </w:p>
        </w:tc>
      </w:tr>
      <w:tr>
        <w:trPr>
          <w:tblHeader w:val="false"/>
        </w:trPr>
        <w:tc>
          <w:tcPr>
            <w:tcW w:type="dxa" w:w="10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245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Prüfpartner Struktur–Geschmack</w:t>
            </w:r>
          </w:p>
        </w:tc>
        <w:tc>
          <w:tcPr>
            <w:tcW w:type="dxa" w:w="435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Stellen die Hypothese auf, was PTC/PROP/Goitrin/Sinigrin gemeinsam haben (N–C=S), und leiten die Analogie C=S ↔ C=O her; die KI prüft die Begründung.</w:t>
            </w:r>
          </w:p>
        </w:tc>
        <w:tc>
          <w:tcPr>
            <w:tcW w:type="dxa" w:w="18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Anwenden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Advocatus Diaboli Rezeptorbindung</w:t>
            </w:r>
          </w:p>
        </w:tc>
        <w:tc>
          <w:tcPr>
            <w:tcW w:type="dxa" w:w="4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Erklären GPCR-Bau und Bindung; die KI bestreitet, dass Schwefel H-Brücken bildet und dass ein Modell ohne Kristallstruktur zählt – die Studierenden verteidigen fundiert.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Beurteilen</w:t>
            </w:r>
          </w:p>
        </w:tc>
      </w:tr>
      <w:tr>
        <w:trPr>
          <w:tblHeader w:val="false"/>
        </w:trPr>
        <w:tc>
          <w:tcPr>
            <w:tcW w:type="dxa" w:w="10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245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Synthese- &amp; Debattenpartner Genotyp→Phänotyp</w:t>
            </w:r>
          </w:p>
        </w:tc>
        <w:tc>
          <w:tcPr>
            <w:tcW w:type="dxa" w:w="435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Schliessen den Kausalbogen bis zum Genotyp (PAV/AVI) und zum Freitag; wägen, wie belastbar der Schluss von Struktur auf Geschmack ist.</w:t>
            </w:r>
          </w:p>
        </w:tc>
        <w:tc>
          <w:tcPr>
            <w:tcW w:type="dxa" w:w="18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Werten</w:t>
            </w:r>
          </w:p>
        </w:tc>
      </w:tr>
    </w:tbl>
    <w:p>
      <w:pPr>
        <w:spacing w:after="80"/>
      </w:pPr>
    </w:p>
    <w:p>
      <w:pPr>
        <w:pStyle w:val="Heading2"/>
        <w:spacing w:after="60" w:before="160"/>
      </w:pPr>
      <w:r>
        <w:rPr>
          <w:b/>
          <w:bCs/>
          <w:color w:val="0F3D2E"/>
          <w:sz w:val="22"/>
          <w:szCs w:val="22"/>
        </w:rPr>
        <w:t xml:space="preserve">Phase A – Sokratischer Struktur-Tutor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Ziel:</w:t>
      </w:r>
      <w:r>
        <w:rPr>
          <w:color w:val="1A1A1A"/>
          <w:sz w:val="21"/>
          <w:szCs w:val="21"/>
        </w:rPr>
        <w:t xml:space="preserve"> Die im Skript behandelten Stoffklassen sitzen an echten Molekülen. Die KI fragt ab, statt zu liefern: Sie nennt Bitterstoff-Strukturen und lässt die Studierenden die funktionellen Gruppen benennen – gestaffelt von PTC (Aromat + Thioharnstoff) über Sinigrin und Goitrin bis Amarogentin (Glucosid, Ester, Phenole, Enolether-Alken, viele Stereozentren). Umgekehrt erklären die Studierenden der KI die Stoffklassen und lassen sich Lücken spiegeln. Verifikation gegen das Skript-Kapitel «Stoffklassen und funktionelle Gruppen».</w:t>
      </w:r>
    </w:p>
    <w:p>
      <w:pPr>
        <w:pStyle w:val="Heading2"/>
        <w:spacing w:after="60" w:before="160"/>
      </w:pPr>
      <w:r>
        <w:rPr>
          <w:b/>
          <w:bCs/>
          <w:color w:val="0F3D2E"/>
          <w:sz w:val="22"/>
          <w:szCs w:val="22"/>
        </w:rPr>
        <w:t xml:space="preserve">Phase B – Prüfpartner Struktur–Geschmack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Ziel:</w:t>
      </w:r>
      <w:r>
        <w:rPr>
          <w:color w:val="1A1A1A"/>
          <w:sz w:val="21"/>
          <w:szCs w:val="21"/>
        </w:rPr>
        <w:t xml:space="preserve"> Das verbindende Motiv finden und chemisch begründen. Die Studierenden stellen zuerst selbst die Hypothese auf, was PTC, PROP, Goitrin und Sinigrin gemeinsam haben (das N–C=S-Motiv), und leiten die Analogie C=S ↔ C=O her (Elektronegativität, Bindungspolarität, Wasserstoffbrücken). Erst danach prüft die KI als Prüfpartner die Begründung, fragt nach und deckt Scheinlogiken auf. Skript-Grenze: Thioharnstoff/Thioamid werden als Transfer zu behandeltem Stoff (C=O, Amid, Ester) gekennzeichnet.</w:t>
      </w:r>
    </w:p>
    <w:p>
      <w:pPr>
        <w:pStyle w:val="Heading2"/>
        <w:spacing w:after="60" w:before="160"/>
      </w:pPr>
      <w:r>
        <w:rPr>
          <w:b/>
          <w:bCs/>
          <w:color w:val="0F3D2E"/>
          <w:sz w:val="22"/>
          <w:szCs w:val="22"/>
        </w:rPr>
        <w:t xml:space="preserve">Phase C – Advocatus Diaboli: Rezeptor &amp; Bindung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Ziel:</w:t>
      </w:r>
      <w:r>
        <w:rPr>
          <w:color w:val="1A1A1A"/>
          <w:sz w:val="21"/>
          <w:szCs w:val="21"/>
        </w:rPr>
        <w:t xml:space="preserve"> Den molekularen Erkennungsschritt verstehen. Die Studierenden beschreiben den GPCR-Bau (sieben Transmembran-Helices, orthosterische Tasche) und die Bindung, bei der der Schwefel der Thioharnstoff-Gruppe eine Wasserstoffbrücke zu Asn103 (und Tyr193) bildet, mit weiteren Kontakten zu Phe197, Phe264 und Trp201. Die KI widerspricht bewusst – etwa «Schwefel ist doch gar kein H-Brücken-Akzeptor» oder «für TAS2R38 gibt es keine Kristallstruktur, das ist Spekulation». Die Studierenden verteidigen die Bindung und unterscheiden dabei Modell-Evidenz (Homologie-/AlphaFold-Modell + Molekulardynamik, validiert durch Mutagenese; Cryo-EM verwandter TAS2Rx als Schablone) von blosser Spekulation.</w:t>
      </w:r>
    </w:p>
    <w:p>
      <w:pPr>
        <w:pStyle w:val="Heading2"/>
        <w:spacing w:after="60" w:before="160"/>
      </w:pPr>
      <w:r>
        <w:rPr>
          <w:b/>
          <w:bCs/>
          <w:color w:val="0F3D2E"/>
          <w:sz w:val="22"/>
          <w:szCs w:val="22"/>
        </w:rPr>
        <w:t xml:space="preserve">Phase D – Synthese- &amp; Debattenpartner: Genotyp → Phänotyp</w:t>
      </w:r>
    </w:p>
    <w:p>
      <w:pPr>
        <w:spacing w:after="120"/>
      </w:pPr>
      <w:r>
        <w:rPr>
          <w:b/>
          <w:bCs/>
          <w:color w:val="1A1A1A"/>
          <w:sz w:val="21"/>
          <w:szCs w:val="21"/>
        </w:rPr>
        <w:t xml:space="preserve">Ziel:</w:t>
      </w:r>
      <w:r>
        <w:rPr>
          <w:color w:val="1A1A1A"/>
          <w:sz w:val="21"/>
          <w:szCs w:val="21"/>
        </w:rPr>
        <w:t xml:space="preserve"> Den Kreis schliessen. Die Studierenden verknüpfen die drei SNP-Positionen (rs713598 → Aminosäure 49 Pro/Ala; Positionen 262 und 296) mit den Haplotypen PAV (Taster) und AVI (Non-Taster) und der veränderten Bindetaschengeometrie: Bei PAV rastet die Wasserstoffbrücke zum Schwefel ein, bei AVI ist der Abstand zu gross und die schwache H-Brücke bricht weg. Die KI fordert sie heraus, den gesamten Bogen – Molekülstruktur → Bindetasche → Aminosäure-Variante → Genotyp → Gelbande (Freitag) – lückenlos zu vertreten, und prüft, wie belastbar der Schluss vom Genotyp auf die tatsächliche Wahrnehmung ist. Damit schliesst der Block an das Praktikum am Freitag an.</w:t>
      </w:r>
    </w:p>
    <w:p>
      <w:pPr>
        <w:pStyle w:val="Heading1"/>
        <w:spacing w:after="100" w:before="240"/>
      </w:pPr>
      <w:r>
        <w:rPr>
          <w:b/>
          <w:bCs/>
          <w:color w:val="1D9E75"/>
          <w:sz w:val="26"/>
          <w:szCs w:val="26"/>
        </w:rPr>
        <w:t xml:space="preserve">5  Ablaufplan (Richtwert ≈ 120 Min., modular)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Die Zeiten sind Richtwerte für einen zusammenhängenden Block und lassen sich stauchen oder dehnen. Die Phasen A–C sind je rund 25 Minuten das Herzstück.</w:t>
      </w:r>
    </w:p>
    <w:tbl>
      <w:tblPr>
        <w:tblW w:type="dxa" w:w="9600"/>
        <w:tblBorders>
          <w:top w:val="single" w:color="CBD2D9" w:sz="4"/>
          <w:left w:val="single" w:color="CBD2D9" w:sz="4"/>
          <w:bottom w:val="single" w:color="CBD2D9" w:sz="4"/>
          <w:right w:val="single" w:color="CBD2D9" w:sz="4"/>
          <w:insideH w:val="single" w:color="E5E7EB" w:sz="4"/>
          <w:insideV w:val="single" w:color="E5E7EB" w:sz="4"/>
        </w:tblBorders>
      </w:tblPr>
      <w:tblGrid>
        <w:gridCol w:w="1400"/>
        <w:gridCol w:w="5400"/>
        <w:gridCol w:w="2800"/>
      </w:tblGrid>
      <w:tr>
        <w:trPr>
          <w:tblHeader/>
        </w:trPr>
        <w:tc>
          <w:tcPr>
            <w:tcW w:type="dxa" w:w="1400"/>
            <w:shd w:fill="1D9E7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5400"/>
            <w:shd w:fill="1D9E7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 &amp; Aktivität</w:t>
            </w:r>
          </w:p>
        </w:tc>
        <w:tc>
          <w:tcPr>
            <w:tcW w:type="dxa" w:w="2800"/>
            <w:shd w:fill="1D9E7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Rolle Lehrperson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Einstieg (Plenum): PTC-Streifen / «Taster oder nicht?»; Spielregeln &amp; KI-Auftrag klären.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Aufgelockert-frontal, kurz halten; Neugier wecken.</w:t>
            </w:r>
          </w:p>
        </w:tc>
      </w:tr>
      <w:tr>
        <w:trPr>
          <w:tblHeader w:val="false"/>
        </w:trPr>
        <w:tc>
          <w:tcPr>
            <w:tcW w:type="dxa" w:w="14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0:10–0:35</w:t>
            </w:r>
          </w:p>
        </w:tc>
        <w:tc>
          <w:tcPr>
            <w:tcW w:type="dxa" w:w="54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Phase A – Struktur-Tutor. Funktionelle Gruppen an Bitterstoffen; Abgleich mit dem Skript.</w:t>
            </w:r>
          </w:p>
        </w:tc>
        <w:tc>
          <w:tcPr>
            <w:tcW w:type="dxa" w:w="28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Begleitend, punktuell; bei Erkenntnis loben.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0:35–1:00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Phase B – Struktur–Geschmack. N–C=S-Motiv, Analogie C=S ↔ C=O.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Beobachten, wo die Analogie kippt; nicht vorwegnehmen.</w:t>
            </w:r>
          </w:p>
        </w:tc>
      </w:tr>
      <w:tr>
        <w:trPr>
          <w:tblHeader w:val="false"/>
        </w:trPr>
        <w:tc>
          <w:tcPr>
            <w:tcW w:type="dxa" w:w="14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1:00–1:25</w:t>
            </w:r>
          </w:p>
        </w:tc>
        <w:tc>
          <w:tcPr>
            <w:tcW w:type="dxa" w:w="54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Phase C – Rezeptorbindung. GPCR, H-Brücke zum Schwefel, Modellstatus.</w:t>
            </w:r>
          </w:p>
        </w:tc>
        <w:tc>
          <w:tcPr>
            <w:tcW w:type="dxa" w:w="28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Impulse nur bei Stillstand; Diskussion offen lassen.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1:25–1:45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Phase D – Genotyp→Phänotyp. Kausalbogen schliessen, Brücke zum Freitag.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Moderierend zurückhaltend.</w:t>
            </w:r>
          </w:p>
        </w:tc>
      </w:tr>
      <w:tr>
        <w:trPr>
          <w:tblHeader w:val="false"/>
        </w:trPr>
        <w:tc>
          <w:tcPr>
            <w:tcW w:type="dxa" w:w="14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1:45–2:00</w:t>
            </w:r>
          </w:p>
        </w:tc>
        <w:tc>
          <w:tcPr>
            <w:tcW w:type="dxa" w:w="54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Sicherung &amp; Reflexion (Plenum). Kausalbogen bündeln; KI-Nutzung reflektieren.</w:t>
            </w:r>
          </w:p>
        </w:tc>
        <w:tc>
          <w:tcPr>
            <w:tcW w:type="dxa" w:w="2800"/>
            <w:shd w:fill="F4F7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Zusammenführen, Erkenntnisse würdigen.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D9E75"/>
          <w:sz w:val="26"/>
          <w:szCs w:val="26"/>
        </w:rPr>
        <w:t xml:space="preserve">6  Umgang mit der KI – Leitplanken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1A1A1A"/>
          <w:sz w:val="21"/>
          <w:szCs w:val="21"/>
        </w:rPr>
        <w:t xml:space="preserve">Rollen-Prompts statt Fragen.</w:t>
      </w:r>
      <w:r>
        <w:rPr>
          <w:color w:val="1A1A1A"/>
          <w:sz w:val="21"/>
          <w:szCs w:val="21"/>
        </w:rPr>
        <w:t xml:space="preserve"> Für jede Phase erhalten die Studierenden einen vorformulierten Rollen-Auftrag (Tutor / Prüfpartner / Advocatus Diaboli / Synthese-Partner). Das steuert das Verhalten weg vom blossen Lösungsausspucken.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1A1A1A"/>
          <w:sz w:val="21"/>
          <w:szCs w:val="21"/>
        </w:rPr>
        <w:t xml:space="preserve">Belegpflicht.</w:t>
      </w:r>
      <w:r>
        <w:rPr>
          <w:color w:val="1A1A1A"/>
          <w:sz w:val="21"/>
          <w:szCs w:val="21"/>
        </w:rPr>
        <w:t xml:space="preserve"> Studierende dokumentieren pro Phase Prompt, KI-Antwort und eigene Prüfung/Korrektur. Dieses KI-Protokoll ist zugleich Reflexions- und möglicher Leistungsnachweis.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1A1A1A"/>
          <w:sz w:val="21"/>
          <w:szCs w:val="21"/>
        </w:rPr>
        <w:t xml:space="preserve">Fehleranfälligkeit einplanen.</w:t>
      </w:r>
      <w:r>
        <w:rPr>
          <w:color w:val="1A1A1A"/>
          <w:sz w:val="21"/>
          <w:szCs w:val="21"/>
        </w:rPr>
        <w:t xml:space="preserve"> Gerade bei Strukturen und Bindungspartnern kann die KI überzeugend falsch liegen – die Verifikation gegen Skript und Doku ist Pflicht und Lernanlass.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1A1A1A"/>
          <w:sz w:val="21"/>
          <w:szCs w:val="21"/>
        </w:rPr>
        <w:t xml:space="preserve">Tool-Unabhängigkeit &amp; Datenschutz.</w:t>
      </w:r>
      <w:r>
        <w:rPr>
          <w:color w:val="1A1A1A"/>
          <w:sz w:val="21"/>
          <w:szCs w:val="21"/>
        </w:rPr>
        <w:t xml:space="preserve"> Der Block funktioniert mit jedem gängigen Chatbot; keine Spezialsoftware. Keine echten Namen zu Genotypen eingeben.</w:t>
      </w:r>
    </w:p>
    <w:p>
      <w:pPr>
        <w:pStyle w:val="Heading1"/>
        <w:spacing w:after="100" w:before="240"/>
      </w:pPr>
      <w:r>
        <w:rPr>
          <w:b/>
          <w:bCs/>
          <w:color w:val="1D9E75"/>
          <w:sz w:val="26"/>
          <w:szCs w:val="26"/>
        </w:rPr>
        <w:t xml:space="preserve">7  Leistungsnachweis (optional)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Passend zum Grundsatz «Prozess vor Produkt» eignet sich das KI-Protokoll als transparenter, kriteriengeleiteter Nachweis. Mögliche Kriterien (mit dem Skript harmonisiert): Korrektheit der Zuordnung funktioneller Gruppen, Qualität der Herleitung Struktur–Geschmack, Verständnis der Rezeptorbindung samt Modellstatus, Geschlossenheit des Kausalbogens und Substanz der genannten Grenzen. Ein einsatzfertiges Bewertungsraster mit 1–6-Umrechnung liegt der Handreichung bei.</w:t>
      </w:r>
    </w:p>
    <w:p>
      <w:pPr>
        <w:pStyle w:val="Heading1"/>
        <w:spacing w:after="100" w:before="240"/>
      </w:pPr>
      <w:r>
        <w:rPr>
          <w:b/>
          <w:bCs/>
          <w:color w:val="1D9E75"/>
          <w:sz w:val="26"/>
          <w:szCs w:val="26"/>
        </w:rPr>
        <w:t xml:space="preserve">8  Verhältnis zum PCR-Block &amp; zum Praktikum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Dieser Theorieblock und der bereits vorhandene PCR-KI-Block ergänzen sich, ohne sich zu doppeln. Datenauswertung am Gelbild und die Datenethik-Debatte sind im PCR-Block verortet; hier liegt der Fokus auf der Chemie und Molekularbiologie der Erkennung. So bereitet der Donnerstag die Freitags-Genotypisierung inhaltlich vor: Wer den Weg vom Molekül zur Bindetasche verstanden hat, liest am Freitag die Banden nicht als Zufall, sondern als Ende einer verstandenen Kausalkette.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2026-07-15T15:37:23.776Z</dcterms:created>
  <dcterms:modified xsi:type="dcterms:W3CDTF">2026-07-15T15:37:23.776Z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