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401F4" w14:textId="339A2414" w:rsidR="008032B6" w:rsidRDefault="005F2DC4">
      <w:pPr>
        <w:spacing w:after="40"/>
      </w:pPr>
      <w:r>
        <w:rPr>
          <w:b/>
          <w:bCs/>
          <w:color w:val="1F3864"/>
          <w:sz w:val="20"/>
          <w:szCs w:val="20"/>
        </w:rPr>
        <w:t>Schwerpunktfachtage Biologie und Chemie · KME Zürich</w:t>
      </w:r>
    </w:p>
    <w:p w14:paraId="0D3D36EC" w14:textId="77777777" w:rsidR="0017186C" w:rsidRDefault="005F2DC4">
      <w:pPr>
        <w:pStyle w:val="Titel"/>
        <w:spacing w:after="60"/>
        <w:rPr>
          <w:b/>
          <w:bCs/>
        </w:rPr>
      </w:pPr>
      <w:r>
        <w:rPr>
          <w:b/>
          <w:bCs/>
        </w:rPr>
        <w:t>SPF-Tage «Bitterrezeptoren»</w:t>
      </w:r>
    </w:p>
    <w:p w14:paraId="0FE401F5" w14:textId="04355652" w:rsidR="008032B6" w:rsidRDefault="005F2DC4">
      <w:pPr>
        <w:pStyle w:val="Titel"/>
        <w:spacing w:after="60"/>
      </w:pPr>
      <w:r>
        <w:rPr>
          <w:b/>
          <w:bCs/>
        </w:rPr>
        <w:t>Fachliche Lernziele</w:t>
      </w:r>
    </w:p>
    <w:p w14:paraId="0FE401F6" w14:textId="77777777" w:rsidR="008032B6" w:rsidRPr="0017186C" w:rsidRDefault="005F2DC4">
      <w:pPr>
        <w:spacing w:after="160"/>
        <w:rPr>
          <w:b/>
        </w:rPr>
      </w:pPr>
      <w:r>
        <w:rPr>
          <w:b/>
          <w:iCs/>
        </w:rPr>
        <w:t>Vom Molekül zum Genotyp — und ins Labor. Fächerübergreifend Biologie + Chemie.</w:t>
      </w:r>
    </w:p>
    <w:p w14:paraId="7F714B9A" w14:textId="77777777" w:rsidR="0017186C" w:rsidRDefault="0017186C">
      <w:pPr>
        <w:spacing w:after="100"/>
        <w:rPr>
          <w:b/>
          <w:bCs/>
        </w:rPr>
      </w:pPr>
    </w:p>
    <w:p w14:paraId="0FE401F7" w14:textId="0070B8E1" w:rsidR="008032B6" w:rsidRDefault="005F2DC4">
      <w:pPr>
        <w:spacing w:after="100"/>
      </w:pPr>
      <w:r>
        <w:rPr>
          <w:b/>
          <w:bCs/>
        </w:rPr>
        <w:t xml:space="preserve">Roter Faden: </w:t>
      </w:r>
      <w:r>
        <w:t>Molekülstruktur (N–C=S) → genetische Varianten (PAV/AVI) → Rezeptor TAS2R38 und seine Struktur → PCR → ARMS-PCR → Gelbande → Eigenzuordnung Taster/Non-Taster.</w:t>
      </w:r>
    </w:p>
    <w:p w14:paraId="0FE401F8" w14:textId="073593FD" w:rsidR="008032B6" w:rsidRDefault="005F2DC4">
      <w:pPr>
        <w:spacing w:after="100"/>
      </w:pPr>
      <w:r>
        <w:rPr>
          <w:b/>
          <w:bCs/>
        </w:rPr>
        <w:t xml:space="preserve">Ablauf (drei Halbtage): </w:t>
      </w:r>
      <w:r>
        <w:t xml:space="preserve">Do Vormittag Sensorikkurs an der ZHAW Wädenswil (extern) inkl. erster Bitterstoff-Degustation · Do Nachmittag Theorieblock (13:00–16:30, 2×1,5 h + Pause) an der ZHAW Wädenswil · Fr PCR-Praktikum an der KME inkl. Auswertung und Eigenzuordnung Taster/Non-Taster. </w:t>
      </w:r>
    </w:p>
    <w:p w14:paraId="7F740457" w14:textId="1DC285FD" w:rsidR="0017186C" w:rsidRDefault="005F2DC4">
      <w:pPr>
        <w:spacing w:after="40"/>
      </w:pPr>
      <w:r>
        <w:rPr>
          <w:b/>
          <w:bCs/>
        </w:rPr>
        <w:t>Legende: P</w:t>
      </w:r>
      <w:r>
        <w:t xml:space="preserve"> prüfungs-/maturrelevant, </w:t>
      </w:r>
      <w:r>
        <w:rPr>
          <w:b/>
          <w:bCs/>
        </w:rPr>
        <w:t>B</w:t>
      </w:r>
      <w:r>
        <w:t xml:space="preserve"> bildungsrelevant, aber nicht prüfungsrelevant.</w:t>
      </w:r>
    </w:p>
    <w:p w14:paraId="0FE401FA" w14:textId="77777777" w:rsidR="008032B6" w:rsidRDefault="008032B6">
      <w:pPr>
        <w:pBdr>
          <w:bottom w:val="single" w:sz="6" w:space="6" w:color="1F3864"/>
        </w:pBdr>
        <w:spacing w:after="160"/>
      </w:pPr>
    </w:p>
    <w:p w14:paraId="381F1674" w14:textId="77777777" w:rsidR="0017186C" w:rsidRDefault="0017186C">
      <w:pPr>
        <w:pStyle w:val="berschrift1"/>
        <w:spacing w:before="240" w:after="120"/>
        <w:rPr>
          <w:b/>
          <w:bCs/>
          <w:color w:val="1F3864"/>
        </w:rPr>
      </w:pPr>
    </w:p>
    <w:p w14:paraId="5C5D28F8" w14:textId="77777777" w:rsidR="0017186C" w:rsidRDefault="0017186C">
      <w:pPr>
        <w:pStyle w:val="berschrift1"/>
        <w:spacing w:before="240" w:after="120"/>
        <w:rPr>
          <w:b/>
          <w:bCs/>
          <w:color w:val="1F3864"/>
        </w:rPr>
      </w:pPr>
    </w:p>
    <w:p w14:paraId="0FE401FB" w14:textId="1BAD247A" w:rsidR="008032B6" w:rsidRDefault="005F2DC4">
      <w:pPr>
        <w:pStyle w:val="berschrift1"/>
        <w:spacing w:before="240" w:after="120"/>
      </w:pPr>
      <w:r>
        <w:rPr>
          <w:b/>
          <w:bCs/>
          <w:color w:val="1F3864"/>
        </w:rPr>
        <w:t>1 · Sensorik  (Do Vormittag, ZHAW)</w:t>
      </w:r>
    </w:p>
    <w:p w14:paraId="0FE401FC" w14:textId="66BBAA7D" w:rsidR="008032B6" w:rsidRDefault="005F2DC4">
      <w:pPr>
        <w:pStyle w:val="Listenabsatz"/>
        <w:numPr>
          <w:ilvl w:val="0"/>
          <w:numId w:val="2"/>
        </w:numPr>
        <w:spacing w:after="80"/>
      </w:pPr>
      <w:r>
        <w:rPr>
          <w:b/>
          <w:bCs/>
          <w:color w:val="1F3864"/>
          <w:sz w:val="18"/>
          <w:szCs w:val="18"/>
        </w:rPr>
        <w:t xml:space="preserve">[Ch/Bio · B]  </w:t>
      </w:r>
      <w:r>
        <w:t xml:space="preserve">Die </w:t>
      </w:r>
      <w:r>
        <w:rPr>
          <w:b/>
        </w:rPr>
        <w:t>Grundprinzipien sensorischer Analyse</w:t>
      </w:r>
      <w:r>
        <w:t xml:space="preserve"> benennen (Schwellenwert, Reiz-Empfindungs-Beziehung, systematisches Degustieren) und ein Degustationsprotokoll sauber führen.</w:t>
      </w:r>
    </w:p>
    <w:p w14:paraId="0FE401FD" w14:textId="5CB3B2B1" w:rsidR="008032B6" w:rsidRDefault="005F2DC4">
      <w:pPr>
        <w:pStyle w:val="Listenabsatz"/>
        <w:numPr>
          <w:ilvl w:val="0"/>
          <w:numId w:val="2"/>
        </w:numPr>
        <w:spacing w:after="80"/>
      </w:pPr>
      <w:r>
        <w:rPr>
          <w:b/>
          <w:bCs/>
          <w:color w:val="1F3864"/>
          <w:sz w:val="18"/>
          <w:szCs w:val="18"/>
        </w:rPr>
        <w:t xml:space="preserve">[Ch/Bio · B]  </w:t>
      </w:r>
      <w:r>
        <w:t xml:space="preserve">Die </w:t>
      </w:r>
      <w:r>
        <w:rPr>
          <w:b/>
        </w:rPr>
        <w:t>eigene Bitterwahrnehmung</w:t>
      </w:r>
      <w:r>
        <w:t xml:space="preserve"> an Testsubstanzen (PTC/PROP o.ä.) in Ausprägungsstufen einordnen und als Datenpunkt für den Do-Nachmittag/Freitag festhalten.</w:t>
      </w:r>
      <w:r>
        <w:br/>
      </w:r>
    </w:p>
    <w:p w14:paraId="0FE401FE" w14:textId="77777777" w:rsidR="008032B6" w:rsidRDefault="005F2DC4">
      <w:pPr>
        <w:pStyle w:val="berschrift1"/>
        <w:spacing w:before="240" w:after="120"/>
      </w:pPr>
      <w:r>
        <w:rPr>
          <w:b/>
          <w:bCs/>
          <w:color w:val="1F3864"/>
        </w:rPr>
        <w:t>2 · Chemie der Bitterstoffe  (Do Nachmittag)</w:t>
      </w:r>
    </w:p>
    <w:p w14:paraId="0FE401FF" w14:textId="0ED5F1D9" w:rsidR="008032B6" w:rsidRDefault="005F2DC4">
      <w:pPr>
        <w:pStyle w:val="Listenabsatz"/>
        <w:numPr>
          <w:ilvl w:val="0"/>
          <w:numId w:val="2"/>
        </w:numPr>
        <w:spacing w:after="80"/>
      </w:pPr>
      <w:r>
        <w:rPr>
          <w:b/>
          <w:bCs/>
          <w:color w:val="1F3864"/>
          <w:sz w:val="18"/>
          <w:szCs w:val="18"/>
        </w:rPr>
        <w:t xml:space="preserve">[Ch/Bio · B]  </w:t>
      </w:r>
      <w:r>
        <w:rPr>
          <w:b/>
          <w:bCs/>
        </w:rPr>
        <w:t>Konzentrationsabhängigkeit der Bitterwahrnehmung</w:t>
      </w:r>
      <w:r>
        <w:t xml:space="preserve"> beschreiben: dieselbe Substanz wird je nach Konzentration unterschiedlich stark empfunden — von </w:t>
      </w:r>
      <w:r>
        <w:rPr>
          <w:i/>
          <w:iCs/>
        </w:rPr>
        <w:t>weak</w:t>
      </w:r>
      <w:r>
        <w:t xml:space="preserve"> über </w:t>
      </w:r>
      <w:r>
        <w:rPr>
          <w:i/>
          <w:iCs/>
        </w:rPr>
        <w:t>moderate</w:t>
      </w:r>
      <w:r>
        <w:t xml:space="preserve"> und </w:t>
      </w:r>
      <w:r>
        <w:rPr>
          <w:i/>
          <w:iCs/>
        </w:rPr>
        <w:t>strong</w:t>
      </w:r>
      <w:r>
        <w:t xml:space="preserve"> bis </w:t>
      </w:r>
      <w:r>
        <w:rPr>
          <w:i/>
          <w:iCs/>
        </w:rPr>
        <w:t>very strong</w:t>
      </w:r>
      <w:r>
        <w:t xml:space="preserve"> — und die eigenen Degustationswerte vom Vormittag in die Skala (Bild Prop-Bitterwahrnehmung) einordnen (Brücke Sensorik → Molekül).</w:t>
      </w:r>
    </w:p>
    <w:p w14:paraId="0FE40202" w14:textId="0F6643DF" w:rsidR="008032B6" w:rsidRDefault="005F2DC4">
      <w:pPr>
        <w:pStyle w:val="Listenabsatz"/>
        <w:numPr>
          <w:ilvl w:val="0"/>
          <w:numId w:val="2"/>
        </w:numPr>
        <w:spacing w:after="80"/>
      </w:pPr>
      <w:r>
        <w:rPr>
          <w:b/>
          <w:bCs/>
          <w:color w:val="1F3864"/>
          <w:sz w:val="18"/>
          <w:szCs w:val="18"/>
        </w:rPr>
        <w:t xml:space="preserve">[Ch · P]  </w:t>
      </w:r>
      <w:r>
        <w:t xml:space="preserve">In den Bitterstoff-Molekülen (PTC, PROP, Sinigrin, Goitrin, Naringin, Amarogentin) die </w:t>
      </w:r>
      <w:r>
        <w:rPr>
          <w:b/>
        </w:rPr>
        <w:t>funktionellen Gruppen</w:t>
      </w:r>
      <w:r>
        <w:t xml:space="preserve"> aus dem Skript (inkl. Acetal) wiedererkennen. Erweiterung zum Thioacetal. </w:t>
      </w:r>
    </w:p>
    <w:p w14:paraId="0FE40203" w14:textId="397AAC98" w:rsidR="008032B6" w:rsidRDefault="005F2DC4">
      <w:pPr>
        <w:pStyle w:val="Listenabsatz"/>
        <w:numPr>
          <w:ilvl w:val="0"/>
          <w:numId w:val="2"/>
        </w:numPr>
        <w:spacing w:after="80"/>
      </w:pPr>
      <w:r>
        <w:rPr>
          <w:b/>
          <w:bCs/>
          <w:color w:val="1F3864"/>
          <w:sz w:val="18"/>
          <w:szCs w:val="18"/>
        </w:rPr>
        <w:t xml:space="preserve">[Ch · B]  </w:t>
      </w:r>
      <w:r>
        <w:t xml:space="preserve">Das bindende Strukturmotiv </w:t>
      </w:r>
      <w:r>
        <w:rPr>
          <w:b/>
          <w:bCs/>
        </w:rPr>
        <w:t>N–C=S</w:t>
      </w:r>
      <w:r>
        <w:t xml:space="preserve"> in PTC, Prop, Sinigrin, Goitrin identifizieren und </w:t>
      </w:r>
      <w:r>
        <w:rPr>
          <w:b/>
          <w:bCs/>
        </w:rPr>
        <w:t>C=S als Schwefel-Analogon zu C=O</w:t>
      </w:r>
      <w:r>
        <w:t xml:space="preserve"> herleiten (grösser, weniger elektronegativ → schwächere Polarisierung, schwächerer H-Brücken-Akzeptor, von schwarz-weiss zur Grauvorstellung). Erkennen, dass Naringin und Amarogentin andere Bindungsmechanismen haben müssen.</w:t>
      </w:r>
    </w:p>
    <w:p w14:paraId="0FE40204" w14:textId="74DB1BD2" w:rsidR="008032B6" w:rsidRDefault="005F2DC4">
      <w:pPr>
        <w:pStyle w:val="Listenabsatz"/>
        <w:numPr>
          <w:ilvl w:val="0"/>
          <w:numId w:val="2"/>
        </w:numPr>
        <w:spacing w:after="80"/>
      </w:pPr>
      <w:r>
        <w:rPr>
          <w:b/>
          <w:bCs/>
          <w:color w:val="1F3864"/>
          <w:sz w:val="18"/>
          <w:szCs w:val="18"/>
        </w:rPr>
        <w:t xml:space="preserve">[Ch · B]  </w:t>
      </w:r>
      <w:r>
        <w:t xml:space="preserve">Thioacetal, Thioharnstoff/Thioamid, Sulfat-Ester und C=N ausdrücklich als </w:t>
      </w:r>
      <w:r>
        <w:rPr>
          <w:b/>
          <w:bCs/>
        </w:rPr>
        <w:t>Transfer/Analogie</w:t>
      </w:r>
      <w:r>
        <w:t xml:space="preserve"> zu bereits behandeltem Skriptstoff einordnen.</w:t>
      </w:r>
      <w:r>
        <w:br/>
      </w:r>
    </w:p>
    <w:p w14:paraId="3D434675" w14:textId="77777777" w:rsidR="0017186C" w:rsidRDefault="0017186C">
      <w:pPr>
        <w:rPr>
          <w:b/>
          <w:bCs/>
          <w:color w:val="1F3864"/>
          <w:sz w:val="32"/>
          <w:szCs w:val="32"/>
        </w:rPr>
      </w:pPr>
      <w:r>
        <w:rPr>
          <w:b/>
          <w:bCs/>
          <w:color w:val="1F3864"/>
        </w:rPr>
        <w:br w:type="page"/>
      </w:r>
    </w:p>
    <w:p w14:paraId="0FE40205" w14:textId="4A8A78A6" w:rsidR="008032B6" w:rsidRDefault="005F2DC4">
      <w:pPr>
        <w:pStyle w:val="berschrift1"/>
        <w:spacing w:before="240" w:after="120"/>
      </w:pPr>
      <w:r>
        <w:rPr>
          <w:b/>
          <w:bCs/>
          <w:color w:val="1F3864"/>
        </w:rPr>
        <w:lastRenderedPageBreak/>
        <w:t>3 · Genetische Varianten und ihre Auswirkungen  (Do Nachmittag)</w:t>
      </w:r>
    </w:p>
    <w:p w14:paraId="0FE40206" w14:textId="77777777" w:rsidR="008032B6" w:rsidRDefault="005F2DC4">
      <w:pPr>
        <w:spacing w:after="100"/>
      </w:pPr>
      <w:r>
        <w:rPr>
          <w:i/>
          <w:iCs/>
        </w:rPr>
        <w:t>Muss vor dem Eintauchen in die Rezeptorstruktur (Block 4) abgehandelt sein.</w:t>
      </w:r>
    </w:p>
    <w:p w14:paraId="03DEBB9D" w14:textId="5D8652FA" w:rsidR="00BF7CB8" w:rsidRDefault="00BF7CB8" w:rsidP="00BF7CB8">
      <w:pPr>
        <w:pStyle w:val="Listenabsatz"/>
        <w:numPr>
          <w:ilvl w:val="0"/>
          <w:numId w:val="2"/>
        </w:numPr>
        <w:spacing w:after="80"/>
      </w:pPr>
      <w:r>
        <w:rPr>
          <w:b/>
          <w:bCs/>
          <w:color w:val="1F3864"/>
          <w:sz w:val="18"/>
          <w:szCs w:val="18"/>
        </w:rPr>
        <w:t xml:space="preserve">[Bio/Ch · B]  </w:t>
      </w:r>
      <w:r>
        <w:t xml:space="preserve">Einen Überblick über die </w:t>
      </w:r>
      <w:r>
        <w:rPr>
          <w:b/>
        </w:rPr>
        <w:t>Familie der GPCRs</w:t>
      </w:r>
      <w:r>
        <w:t xml:space="preserve">, zu denen auch die Geschmacksrezeptoren und somit auch die Bitterrezeptoren und die «Lichtrezeptoren» gehören, gewinnen. </w:t>
      </w:r>
    </w:p>
    <w:p w14:paraId="048A211E" w14:textId="62F05EE9" w:rsidR="00753B57" w:rsidRPr="00BF7CB8" w:rsidRDefault="00BF7CB8" w:rsidP="002C4390">
      <w:pPr>
        <w:pStyle w:val="Listenabsatz"/>
        <w:numPr>
          <w:ilvl w:val="0"/>
          <w:numId w:val="2"/>
        </w:numPr>
        <w:spacing w:after="80"/>
      </w:pPr>
      <w:r>
        <w:rPr>
          <w:b/>
          <w:bCs/>
          <w:color w:val="1F3864"/>
          <w:sz w:val="18"/>
          <w:szCs w:val="18"/>
        </w:rPr>
        <w:t xml:space="preserve">[Bio · B/Ch · P]  </w:t>
      </w:r>
      <w:r>
        <w:t xml:space="preserve">Das </w:t>
      </w:r>
      <w:r>
        <w:rPr>
          <w:b/>
        </w:rPr>
        <w:t>Prinzip der Signaltransduktion</w:t>
      </w:r>
      <w:r>
        <w:t xml:space="preserve"> erläutern (Molekül-Bindung – Strukturänderung – GTP-Bindung – Signalweiterleitung). Vergleich mit E/Z-Isomerie des Lichtrezeptors und Besonderheit erkennen.</w:t>
      </w:r>
    </w:p>
    <w:p w14:paraId="0FE40207" w14:textId="0C65CF33" w:rsidR="008032B6" w:rsidRDefault="005F2DC4">
      <w:pPr>
        <w:pStyle w:val="Listenabsatz"/>
        <w:numPr>
          <w:ilvl w:val="0"/>
          <w:numId w:val="2"/>
        </w:numPr>
        <w:spacing w:after="80"/>
      </w:pPr>
      <w:r>
        <w:rPr>
          <w:b/>
          <w:bCs/>
          <w:color w:val="1F3864"/>
          <w:sz w:val="18"/>
          <w:szCs w:val="18"/>
        </w:rPr>
        <w:t xml:space="preserve">[Bio · P]  </w:t>
      </w:r>
      <w:r>
        <w:t xml:space="preserve">Einen </w:t>
      </w:r>
      <w:r>
        <w:rPr>
          <w:b/>
          <w:bCs/>
        </w:rPr>
        <w:t>SNP</w:t>
      </w:r>
      <w:r>
        <w:t xml:space="preserve"> definieren und im TAS2R38-Gen den Polymorphismus rs713598 verorten: Base C/G → Aminosäure 49 Prolin/Alanin.</w:t>
      </w:r>
    </w:p>
    <w:p w14:paraId="0FE40208" w14:textId="77777777" w:rsidR="008032B6" w:rsidRDefault="005F2DC4">
      <w:pPr>
        <w:pStyle w:val="Listenabsatz"/>
        <w:numPr>
          <w:ilvl w:val="0"/>
          <w:numId w:val="2"/>
        </w:numPr>
        <w:spacing w:after="80"/>
      </w:pPr>
      <w:r>
        <w:rPr>
          <w:b/>
          <w:bCs/>
          <w:color w:val="1F3864"/>
          <w:sz w:val="18"/>
          <w:szCs w:val="18"/>
        </w:rPr>
        <w:t xml:space="preserve">[Bio · P]  </w:t>
      </w:r>
      <w:r>
        <w:t xml:space="preserve">die Haplotypen </w:t>
      </w:r>
      <w:r>
        <w:rPr>
          <w:b/>
          <w:bCs/>
        </w:rPr>
        <w:t>PAV (Taster) / AVI (Non-Taster)</w:t>
      </w:r>
      <w:r>
        <w:t xml:space="preserve"> unterscheiden und die Dominanz des C-Allels auf den Phänotyp (Supertaster/Medium/Non-Taster) anwenden.</w:t>
      </w:r>
    </w:p>
    <w:p w14:paraId="2ECB5097" w14:textId="390E9D28" w:rsidR="00E66B88" w:rsidRPr="00E66B88" w:rsidRDefault="00E66B88" w:rsidP="00CF40F2">
      <w:pPr>
        <w:pStyle w:val="Listenabsatz"/>
        <w:numPr>
          <w:ilvl w:val="0"/>
          <w:numId w:val="2"/>
        </w:numPr>
        <w:spacing w:after="80"/>
      </w:pPr>
      <w:r>
        <w:rPr>
          <w:b/>
          <w:bCs/>
          <w:color w:val="1F3864"/>
          <w:sz w:val="18"/>
          <w:szCs w:val="18"/>
        </w:rPr>
        <w:t xml:space="preserve">[Bio/Ch · B]  </w:t>
      </w:r>
      <w:r>
        <w:t xml:space="preserve">Auswertung der </w:t>
      </w:r>
      <w:r>
        <w:rPr>
          <w:b/>
        </w:rPr>
        <w:t>Utah-Sample</w:t>
      </w:r>
      <w:r>
        <w:t xml:space="preserve"> für TAS2R38 von Kim et al. 2003, </w:t>
      </w:r>
      <w:hyperlink r:id="rId5" w:history="1">
        <w:r>
          <w:rPr>
            <w:rStyle w:val="Hyperlink"/>
          </w:rPr>
          <w:t>https://www.science.org/doi/10.1126/science.1080190 Tabelle 1 /Figure 2</w:t>
        </w:r>
      </w:hyperlink>
      <w:r>
        <w:t>: Es gibt unterschiedliche Haplotypen mit Polymorphismen an 3 Stellen: P49A (C145G), A262V (C785T), V296I (G886A). Alle Kombinationen haben Effekte, aber „Taster“-Allel (PAV) und „Non-Taster“-Allel (AVI) sind die wichtigsten. Bei den high-scores finden sich viele PAV/AVI-Kombinationen. Da das „Taster“-Allel dominant vererbt wird, genügt bereits eine funktionierende Kopie (z. B. PAV/AVI) für ein intensives Geschmacksempfinden, während Personen mit dem homozygoten „Non-Taster“-Genotyp (AVI/AVI) den Stoff gar nicht oder nur extrem schwach schmecken.</w:t>
      </w:r>
    </w:p>
    <w:p w14:paraId="0FE40209" w14:textId="619A4718" w:rsidR="008032B6" w:rsidRDefault="005F2DC4">
      <w:pPr>
        <w:pStyle w:val="Listenabsatz"/>
        <w:numPr>
          <w:ilvl w:val="0"/>
          <w:numId w:val="2"/>
        </w:numPr>
        <w:spacing w:after="80"/>
      </w:pPr>
      <w:r>
        <w:rPr>
          <w:b/>
          <w:bCs/>
          <w:color w:val="1F3864"/>
          <w:sz w:val="18"/>
          <w:szCs w:val="18"/>
        </w:rPr>
        <w:t xml:space="preserve">[Bio/Ch · B]  </w:t>
      </w:r>
      <w:r>
        <w:rPr>
          <w:b/>
        </w:rPr>
        <w:t>Grenzen</w:t>
      </w:r>
      <w:r>
        <w:t xml:space="preserve"> des Genotyp-Phänotyp-Schlusses beurteilen und </w:t>
      </w:r>
      <w:r>
        <w:rPr>
          <w:bCs/>
        </w:rPr>
        <w:t>mindestens zwei</w:t>
      </w:r>
      <w:r>
        <w:t xml:space="preserve"> Einflussfaktoren nennen (weitere SNPs/Rezeptoren, Konzentration/Substanz, Alter/Speichel/Gewöhnung).</w:t>
      </w:r>
      <w:r>
        <w:br/>
      </w:r>
    </w:p>
    <w:p w14:paraId="0FE4020C" w14:textId="77777777" w:rsidR="008032B6" w:rsidRDefault="005F2DC4">
      <w:pPr>
        <w:pStyle w:val="berschrift1"/>
        <w:spacing w:before="240" w:after="120"/>
      </w:pPr>
      <w:r>
        <w:rPr>
          <w:b/>
          <w:bCs/>
          <w:color w:val="1F3864"/>
        </w:rPr>
        <w:t>4 · Rezeptor TAS2R38  (Do Nachmittag)</w:t>
      </w:r>
    </w:p>
    <w:p w14:paraId="0FE4020D" w14:textId="2366EFB7" w:rsidR="008032B6" w:rsidRDefault="005F2DC4">
      <w:pPr>
        <w:pStyle w:val="Listenabsatz"/>
        <w:numPr>
          <w:ilvl w:val="0"/>
          <w:numId w:val="2"/>
        </w:numPr>
        <w:spacing w:after="80"/>
      </w:pPr>
      <w:r>
        <w:rPr>
          <w:b/>
          <w:bCs/>
          <w:color w:val="1F3864"/>
          <w:sz w:val="18"/>
          <w:szCs w:val="18"/>
        </w:rPr>
        <w:t xml:space="preserve">[Bio/Ch · B]  </w:t>
      </w:r>
      <w:r>
        <w:t xml:space="preserve">TAS2R38 als </w:t>
      </w:r>
      <w:r>
        <w:rPr>
          <w:b/>
          <w:bCs/>
        </w:rPr>
        <w:t xml:space="preserve">G-Protein-gekoppelten Rezeptor </w:t>
      </w:r>
      <w:r>
        <w:t>beschreiben: 7 Transmembranhelices, Bindung in der orthosterischen Tasche, GTP-Bindung an der Gα-Untereinheit des G-Proteins, das intrazellulär andockt. Den Erkennungsschritt erklären: H-Brücke des Schwefels zu Asn103, Formänderung → Signal «bitter».</w:t>
      </w:r>
    </w:p>
    <w:p w14:paraId="0FE4020E" w14:textId="7503DAB5" w:rsidR="008032B6" w:rsidRDefault="005F2DC4">
      <w:pPr>
        <w:pStyle w:val="Listenabsatz"/>
        <w:numPr>
          <w:ilvl w:val="0"/>
          <w:numId w:val="2"/>
        </w:numPr>
        <w:spacing w:after="80"/>
      </w:pPr>
      <w:r>
        <w:rPr>
          <w:b/>
          <w:bCs/>
          <w:color w:val="1F3864"/>
          <w:sz w:val="18"/>
          <w:szCs w:val="18"/>
        </w:rPr>
        <w:t xml:space="preserve">[Ch/Bio · B]  </w:t>
      </w:r>
      <w:r>
        <w:t xml:space="preserve">den </w:t>
      </w:r>
      <w:r>
        <w:rPr>
          <w:b/>
          <w:bCs/>
        </w:rPr>
        <w:t>Modellcharakter</w:t>
      </w:r>
      <w:r>
        <w:t xml:space="preserve"> der Bindetasche benennen (AlphaFold-/Homologiemodell, keine Kristallstruktur) und «belastbares Modell» von «direktem Beweis» unterscheiden.</w:t>
      </w:r>
    </w:p>
    <w:p w14:paraId="0FE4020F" w14:textId="2753ABD6" w:rsidR="008032B6" w:rsidRPr="0017186C" w:rsidRDefault="005F2DC4">
      <w:pPr>
        <w:pStyle w:val="berschrift2"/>
        <w:spacing w:before="160" w:after="80"/>
        <w:rPr>
          <w:color w:val="auto"/>
        </w:rPr>
      </w:pPr>
      <w:r>
        <w:rPr>
          <w:b/>
          <w:bCs/>
          <w:color w:val="auto"/>
        </w:rPr>
        <w:t>4a · Proteinstrukturebenen am AlphaFold-Modell</w:t>
      </w:r>
    </w:p>
    <w:p w14:paraId="0FE40210" w14:textId="3278485C" w:rsidR="008032B6" w:rsidRDefault="005F2DC4">
      <w:pPr>
        <w:pStyle w:val="Listenabsatz"/>
        <w:numPr>
          <w:ilvl w:val="0"/>
          <w:numId w:val="2"/>
        </w:numPr>
        <w:spacing w:after="80"/>
      </w:pPr>
      <w:r>
        <w:rPr>
          <w:b/>
          <w:bCs/>
          <w:color w:val="1F3864"/>
          <w:sz w:val="18"/>
          <w:szCs w:val="18"/>
        </w:rPr>
        <w:t xml:space="preserve">[Ch · P]  </w:t>
      </w:r>
      <w:r>
        <w:t xml:space="preserve">Die </w:t>
      </w:r>
      <w:r>
        <w:rPr>
          <w:b/>
        </w:rPr>
        <w:t>vier Strukturebenen</w:t>
      </w:r>
      <w:r>
        <w:t xml:space="preserve"> am AF-Modell </w:t>
      </w:r>
      <w:hyperlink r:id="rId6" w:history="1">
        <w:r>
          <w:rPr>
            <w:rStyle w:val="Hyperlink"/>
          </w:rPr>
          <w:t>https://www.rcsb.org/3d-view/AF_AFP59533F1/deposited</w:t>
        </w:r>
      </w:hyperlink>
      <w:r>
        <w:t xml:space="preserve"> benennen und im 3D-Viewer zeigen: </w:t>
      </w:r>
      <w:r>
        <w:rPr>
          <w:bCs/>
        </w:rPr>
        <w:t>Primär</w:t>
      </w:r>
      <w:r>
        <w:t xml:space="preserve"> = Aminosäuresequenz (333 AS); </w:t>
      </w:r>
      <w:r>
        <w:rPr>
          <w:bCs/>
        </w:rPr>
        <w:t>Sekundär</w:t>
      </w:r>
      <w:r>
        <w:t xml:space="preserve"> = überwiegend α-Helix, speziell 7 Transmembranhelices (7-TM); </w:t>
      </w:r>
      <w:r>
        <w:rPr>
          <w:bCs/>
        </w:rPr>
        <w:t>Tertiär</w:t>
      </w:r>
      <w:r>
        <w:t xml:space="preserve"> = Anordnung der sieben Helices zum Bündel mit der orthosterischen Bindetasche; </w:t>
      </w:r>
      <w:r>
        <w:rPr>
          <w:bCs/>
        </w:rPr>
        <w:t>Quartär</w:t>
      </w:r>
      <w:r>
        <w:t xml:space="preserve"> = im deponierten Modell keine (Einzelkette); funktionell arbeitet der Rezeptor jedoch im Komplex mit dem heterotrimeren G-Protein (Gustducin)</w:t>
      </w:r>
    </w:p>
    <w:p w14:paraId="0FE40211" w14:textId="620A95E3" w:rsidR="008032B6" w:rsidRDefault="005F2DC4">
      <w:pPr>
        <w:pStyle w:val="Listenabsatz"/>
        <w:numPr>
          <w:ilvl w:val="0"/>
          <w:numId w:val="2"/>
        </w:numPr>
        <w:spacing w:after="80"/>
      </w:pPr>
      <w:r>
        <w:rPr>
          <w:b/>
          <w:bCs/>
          <w:color w:val="1F3864"/>
          <w:sz w:val="18"/>
          <w:szCs w:val="18"/>
        </w:rPr>
        <w:t xml:space="preserve">[Ch · P]  </w:t>
      </w:r>
      <w:r>
        <w:t xml:space="preserve">Beurteilen, </w:t>
      </w:r>
      <w:r>
        <w:rPr>
          <w:bCs/>
        </w:rPr>
        <w:t xml:space="preserve">ob eine </w:t>
      </w:r>
      <w:r>
        <w:rPr>
          <w:b/>
          <w:bCs/>
        </w:rPr>
        <w:t xml:space="preserve">Disulfidbrücke </w:t>
      </w:r>
      <w:r>
        <w:rPr>
          <w:bCs/>
        </w:rPr>
        <w:t>vorliegt</w:t>
      </w:r>
      <w:r>
        <w:t xml:space="preserve">: In </w:t>
      </w:r>
      <w:hyperlink r:id="rId7" w:history="1">
        <w:r>
          <w:rPr>
            <w:rStyle w:val="Hyperlink"/>
          </w:rPr>
          <w:t>https://www.uniprot.org/uniprotkb/P59533/entry</w:t>
        </w:r>
      </w:hyperlink>
      <w:r>
        <w:t xml:space="preserve"> ist keine annotiert. Anders als viele klassische Klasse-A-GPCR (konservierte TM3–ECL2-Brücke) hat dieser Rezeptor keine — im Modell prüfen, ob überhaupt zwei Cysteine nahe genug beieinander liegen.</w:t>
      </w:r>
    </w:p>
    <w:p w14:paraId="0FE40212" w14:textId="4E126261" w:rsidR="008032B6" w:rsidRDefault="005F2DC4">
      <w:pPr>
        <w:pStyle w:val="Listenabsatz"/>
        <w:numPr>
          <w:ilvl w:val="0"/>
          <w:numId w:val="2"/>
        </w:numPr>
        <w:spacing w:after="80"/>
      </w:pPr>
      <w:r>
        <w:rPr>
          <w:b/>
          <w:bCs/>
          <w:color w:val="1F3864"/>
          <w:sz w:val="18"/>
          <w:szCs w:val="18"/>
        </w:rPr>
        <w:t xml:space="preserve">[Ch · B]  </w:t>
      </w:r>
      <w:r>
        <w:t xml:space="preserve">Beurteilen, </w:t>
      </w:r>
      <w:r>
        <w:rPr>
          <w:bCs/>
        </w:rPr>
        <w:t xml:space="preserve">ob das Protein </w:t>
      </w:r>
      <w:r>
        <w:rPr>
          <w:b/>
          <w:bCs/>
        </w:rPr>
        <w:t>glykosyliert</w:t>
      </w:r>
      <w:r>
        <w:rPr>
          <w:bCs/>
        </w:rPr>
        <w:t xml:space="preserve"> ist</w:t>
      </w:r>
      <w:r>
        <w:t xml:space="preserve">: </w:t>
      </w:r>
      <w:hyperlink r:id="rId8" w:history="1">
        <w:r>
          <w:rPr>
            <w:rStyle w:val="Hyperlink"/>
          </w:rPr>
          <w:t>https://www.uniprot.org/uniprotkb/P59533/entry</w:t>
        </w:r>
      </w:hyperlink>
      <w:r>
        <w:t xml:space="preserve"> führt es als «Glycoprotein» mit zwei vorhergesagten N-Glykosylierungsstellen (Asn89, Asn178, extrazellulär), aber ohne experimentell nachgewiesene Zucker. Das AlphaFold-Modell kann mit KI, die Primärstruktur sehr gut in eine </w:t>
      </w:r>
      <w:r>
        <w:lastRenderedPageBreak/>
        <w:t>3D-Struktur überführen aber keine Aussagen über posttranslationale Modifikationen machen. Es zeigt nicht das fertige, modifizierte Molekül (Anknüpfung an «Modell vs. gesichert»).</w:t>
      </w:r>
    </w:p>
    <w:p w14:paraId="0FE40213" w14:textId="217140D9" w:rsidR="008032B6" w:rsidRPr="0017186C" w:rsidRDefault="005F2DC4">
      <w:pPr>
        <w:pStyle w:val="berschrift2"/>
        <w:spacing w:before="160" w:after="80"/>
        <w:rPr>
          <w:color w:val="auto"/>
        </w:rPr>
      </w:pPr>
      <w:r>
        <w:rPr>
          <w:b/>
          <w:bCs/>
          <w:color w:val="auto"/>
        </w:rPr>
        <w:t>4b · Bindung des Bitterstoffs</w:t>
      </w:r>
    </w:p>
    <w:p w14:paraId="0FE40214" w14:textId="10447712" w:rsidR="008032B6" w:rsidRDefault="005F2DC4">
      <w:pPr>
        <w:pStyle w:val="Listenabsatz"/>
        <w:numPr>
          <w:ilvl w:val="0"/>
          <w:numId w:val="2"/>
        </w:numPr>
        <w:spacing w:after="80"/>
      </w:pPr>
      <w:r>
        <w:rPr>
          <w:b/>
          <w:bCs/>
          <w:color w:val="1F3864"/>
          <w:sz w:val="18"/>
          <w:szCs w:val="18"/>
        </w:rPr>
        <w:t xml:space="preserve">[Ch/Bio · B]  </w:t>
      </w:r>
      <w:r>
        <w:t xml:space="preserve">Die an der Bindung beteiligten Aminosäuren benennen aus Marchiori et al. 2013 </w:t>
      </w:r>
      <w:hyperlink r:id="rId9" w:history="1">
        <w:r>
          <w:rPr>
            <w:rStyle w:val="Hyperlink"/>
          </w:rPr>
          <w:t>https://pubmed.ncbi.nlm.nih.gov/23741366/</w:t>
        </w:r>
      </w:hyperlink>
      <w:r>
        <w:t xml:space="preserve">: </w:t>
      </w:r>
      <w:r>
        <w:rPr>
          <w:b/>
          <w:bCs/>
        </w:rPr>
        <w:t>Asn103</w:t>
      </w:r>
      <w:r>
        <w:t xml:space="preserve"> (H-Brücke zum Schwefel des N–C=S), </w:t>
      </w:r>
      <w:r>
        <w:rPr>
          <w:b/>
          <w:bCs/>
        </w:rPr>
        <w:t>Tyr193</w:t>
      </w:r>
      <w:r>
        <w:t xml:space="preserve"> (weitere H-Brücke) sowie hydrophobe Kontakte des Aromaten über </w:t>
      </w:r>
      <w:r>
        <w:rPr>
          <w:b/>
          <w:bCs/>
        </w:rPr>
        <w:t>Phe197, Trp201, Phe264</w:t>
      </w:r>
      <w:r>
        <w:t>.</w:t>
      </w:r>
    </w:p>
    <w:p w14:paraId="0FE40215" w14:textId="11162BA5" w:rsidR="008032B6" w:rsidRDefault="005F2DC4">
      <w:pPr>
        <w:pStyle w:val="Listenabsatz"/>
        <w:numPr>
          <w:ilvl w:val="0"/>
          <w:numId w:val="2"/>
        </w:numPr>
        <w:spacing w:after="80"/>
      </w:pPr>
      <w:r>
        <w:rPr>
          <w:b/>
          <w:bCs/>
          <w:color w:val="1F3864"/>
          <w:sz w:val="18"/>
          <w:szCs w:val="18"/>
        </w:rPr>
        <w:t xml:space="preserve">[Ch/Bio · B]  </w:t>
      </w:r>
      <w:r>
        <w:t xml:space="preserve">Erklären/modellieren, warum der Agonist am </w:t>
      </w:r>
      <w:r>
        <w:rPr>
          <w:b/>
          <w:bCs/>
        </w:rPr>
        <w:t>PAV-(Prolin-)Rezeptor</w:t>
      </w:r>
      <w:r>
        <w:t xml:space="preserve"> Bindung/Aktivierung auslöst, am </w:t>
      </w:r>
      <w:r>
        <w:rPr>
          <w:b/>
          <w:bCs/>
        </w:rPr>
        <w:t>AVI-(Alanin-)Rezeptor</w:t>
      </w:r>
      <w:r>
        <w:t xml:space="preserve"> aber nicht (so gut) — Präzisierung: die polymorphen Positionen 49/262/296 sind nicht selbst die Kontaktreste, sondern verändern über das interhelikale H-Brücken-Netzwerk Stabilität und Geometrie des Helixbündels und damit die Passform der Bindetasche. Analogie zum Alg6 im CDG (Krankeit im SPF CH, die Kohlenhydrate und Proteine koppelt) herstellen, wo A333V auch eine Strukturänderung in der Nähe der Zuckerbindung verursacht.</w:t>
      </w:r>
      <w:r>
        <w:br/>
      </w:r>
    </w:p>
    <w:p w14:paraId="0FE40216" w14:textId="77777777" w:rsidR="008032B6" w:rsidRDefault="005F2DC4">
      <w:pPr>
        <w:pStyle w:val="berschrift1"/>
        <w:spacing w:before="240" w:after="120"/>
      </w:pPr>
      <w:r>
        <w:rPr>
          <w:b/>
          <w:bCs/>
          <w:color w:val="1F3864"/>
        </w:rPr>
        <w:t>5 · PCR  (Do Nachmittag Theorie → Fr Praxis)</w:t>
      </w:r>
    </w:p>
    <w:p w14:paraId="2D4F0671" w14:textId="77777777" w:rsidR="0017186C" w:rsidRDefault="0017186C" w:rsidP="0017186C">
      <w:pPr>
        <w:pStyle w:val="Listenabsatz"/>
        <w:numPr>
          <w:ilvl w:val="0"/>
          <w:numId w:val="2"/>
        </w:numPr>
        <w:spacing w:after="80"/>
      </w:pPr>
      <w:r>
        <w:rPr>
          <w:b/>
          <w:bCs/>
          <w:color w:val="1F3864"/>
          <w:sz w:val="18"/>
          <w:szCs w:val="18"/>
        </w:rPr>
        <w:t xml:space="preserve">[Bio · P]  </w:t>
      </w:r>
      <w:r>
        <w:t>Die DNA-</w:t>
      </w:r>
      <w:r>
        <w:rPr>
          <w:b/>
        </w:rPr>
        <w:t>Replikation</w:t>
      </w:r>
      <w:r>
        <w:t xml:space="preserve"> im Detail repetieren</w:t>
      </w:r>
    </w:p>
    <w:p w14:paraId="0FE40217" w14:textId="74D89FE2" w:rsidR="008032B6" w:rsidRDefault="005F2DC4">
      <w:pPr>
        <w:pStyle w:val="Listenabsatz"/>
        <w:numPr>
          <w:ilvl w:val="0"/>
          <w:numId w:val="2"/>
        </w:numPr>
        <w:spacing w:after="80"/>
      </w:pPr>
      <w:r>
        <w:rPr>
          <w:b/>
          <w:bCs/>
          <w:color w:val="1F3864"/>
          <w:sz w:val="18"/>
          <w:szCs w:val="18"/>
        </w:rPr>
        <w:t xml:space="preserve">[Bio · P]  </w:t>
      </w:r>
      <w:r>
        <w:t xml:space="preserve">Die vier </w:t>
      </w:r>
      <w:r>
        <w:rPr>
          <w:b/>
        </w:rPr>
        <w:t>PCR-Komponenten</w:t>
      </w:r>
      <w:r>
        <w:t xml:space="preserve"> (Matrize, Primer, dNTPs, Taq-Polymerase) und ihre Funktion benennen.</w:t>
      </w:r>
    </w:p>
    <w:p w14:paraId="0FE40218" w14:textId="57A8C106" w:rsidR="008032B6" w:rsidRDefault="005F2DC4">
      <w:pPr>
        <w:pStyle w:val="Listenabsatz"/>
        <w:numPr>
          <w:ilvl w:val="0"/>
          <w:numId w:val="2"/>
        </w:numPr>
        <w:spacing w:after="80"/>
      </w:pPr>
      <w:r>
        <w:rPr>
          <w:b/>
          <w:bCs/>
          <w:color w:val="1F3864"/>
          <w:sz w:val="18"/>
          <w:szCs w:val="18"/>
        </w:rPr>
        <w:t xml:space="preserve">[Bio · P]  </w:t>
      </w:r>
      <w:r>
        <w:t xml:space="preserve">Die </w:t>
      </w:r>
      <w:r>
        <w:rPr>
          <w:b/>
          <w:bCs/>
        </w:rPr>
        <w:t>drei Phasen</w:t>
      </w:r>
      <w:r>
        <w:t xml:space="preserve"> (Denaturierung ~95 °C, Annealing, Extension ~72 °C) korrekt erklären und die </w:t>
      </w:r>
      <w:r>
        <w:rPr>
          <w:b/>
          <w:bCs/>
        </w:rPr>
        <w:t>exponentielle Amplifikation</w:t>
      </w:r>
      <w:r>
        <w:t xml:space="preserve"> (2ⁿ) beschreiben und Gesamtvorgang mit der Replikation vergleichen.</w:t>
      </w:r>
      <w:r>
        <w:br/>
      </w:r>
    </w:p>
    <w:p w14:paraId="0FE40219" w14:textId="77777777" w:rsidR="008032B6" w:rsidRDefault="005F2DC4">
      <w:pPr>
        <w:pStyle w:val="berschrift1"/>
        <w:spacing w:before="240" w:after="120"/>
      </w:pPr>
      <w:r>
        <w:rPr>
          <w:b/>
          <w:bCs/>
          <w:color w:val="1F3864"/>
        </w:rPr>
        <w:t>6 · ARMS-PCR &amp; Auswertung  (Do Theorie → Fr Labor)</w:t>
      </w:r>
    </w:p>
    <w:p w14:paraId="0FE4021A" w14:textId="2F6F17CC" w:rsidR="008032B6" w:rsidRDefault="005F2DC4">
      <w:pPr>
        <w:pStyle w:val="Listenabsatz"/>
        <w:numPr>
          <w:ilvl w:val="0"/>
          <w:numId w:val="2"/>
        </w:numPr>
        <w:spacing w:after="80"/>
      </w:pPr>
      <w:r>
        <w:rPr>
          <w:b/>
          <w:bCs/>
          <w:color w:val="1F3864"/>
          <w:sz w:val="18"/>
          <w:szCs w:val="18"/>
        </w:rPr>
        <w:t xml:space="preserve">[Bio · P]  </w:t>
      </w:r>
      <w:r>
        <w:t xml:space="preserve">Das Prinzip der </w:t>
      </w:r>
      <w:r>
        <w:rPr>
          <w:b/>
          <w:bCs/>
        </w:rPr>
        <w:t>Tetra-Primer-ARMS-PCR</w:t>
      </w:r>
      <w:r>
        <w:t xml:space="preserve"> erklären: zwei äussere (Kontrollbande) + zwei innere allelspezifische Primer, Allelselektion über 3′-Mismatch.</w:t>
      </w:r>
    </w:p>
    <w:p w14:paraId="0FE4021B" w14:textId="54136C38" w:rsidR="008032B6" w:rsidRDefault="005F2DC4">
      <w:pPr>
        <w:pStyle w:val="Listenabsatz"/>
        <w:numPr>
          <w:ilvl w:val="0"/>
          <w:numId w:val="2"/>
        </w:numPr>
        <w:spacing w:after="80"/>
      </w:pPr>
      <w:r>
        <w:rPr>
          <w:b/>
          <w:bCs/>
          <w:color w:val="1F3864"/>
          <w:sz w:val="18"/>
          <w:szCs w:val="18"/>
        </w:rPr>
        <w:t xml:space="preserve">[Bio/Ch · P]  </w:t>
      </w:r>
      <w:r>
        <w:t xml:space="preserve">Die </w:t>
      </w:r>
      <w:r>
        <w:rPr>
          <w:b/>
          <w:bCs/>
        </w:rPr>
        <w:t>Gelelektrophorese</w:t>
      </w:r>
      <w:r>
        <w:t xml:space="preserve"> als Auftrennung nach Fragmentlänge erklären.</w:t>
      </w:r>
    </w:p>
    <w:p w14:paraId="0FE4021C" w14:textId="56C3BD99" w:rsidR="008032B6" w:rsidRDefault="005F2DC4">
      <w:pPr>
        <w:pStyle w:val="Listenabsatz"/>
        <w:numPr>
          <w:ilvl w:val="0"/>
          <w:numId w:val="2"/>
        </w:numPr>
        <w:spacing w:after="80"/>
      </w:pPr>
      <w:r>
        <w:rPr>
          <w:b/>
          <w:bCs/>
          <w:color w:val="1F3864"/>
          <w:sz w:val="18"/>
          <w:szCs w:val="18"/>
        </w:rPr>
        <w:t xml:space="preserve">[Bio · P]  </w:t>
      </w:r>
      <w:r>
        <w:t xml:space="preserve">Ein </w:t>
      </w:r>
      <w:r>
        <w:rPr>
          <w:b/>
        </w:rPr>
        <w:t>Gelbild auswerten</w:t>
      </w:r>
      <w:r>
        <w:t xml:space="preserve"> und aus dem Bandenmuster den Genotyp ableiten: 640+436 = Non-Taster, 640+281 = Taster, 640+436+281 = heterozygot (Taster). Selbstzuordnung zu Taster und Non-Taster und Verbindung mit Sensorik und theoretischen Überlegungen.</w:t>
      </w:r>
    </w:p>
    <w:p w14:paraId="0FE4021D" w14:textId="185E6AE1" w:rsidR="008032B6" w:rsidRDefault="005F2DC4">
      <w:pPr>
        <w:pStyle w:val="Listenabsatz"/>
        <w:numPr>
          <w:ilvl w:val="0"/>
          <w:numId w:val="2"/>
        </w:numPr>
        <w:spacing w:after="80"/>
      </w:pPr>
      <w:r>
        <w:rPr>
          <w:b/>
          <w:bCs/>
          <w:color w:val="1F3864"/>
          <w:sz w:val="18"/>
          <w:szCs w:val="18"/>
        </w:rPr>
        <w:t xml:space="preserve">[Bio · P]  </w:t>
      </w:r>
      <w:r>
        <w:t xml:space="preserve">Eine einfache </w:t>
      </w:r>
      <w:r>
        <w:rPr>
          <w:b/>
          <w:bCs/>
        </w:rPr>
        <w:t>Fehleranalyse</w:t>
      </w:r>
      <w:r>
        <w:t xml:space="preserve"> durchführen (Negativkontrolle/Kontamination, Primer-Dimer, fehlende Kontrollbande).</w:t>
      </w:r>
    </w:p>
    <w:sectPr w:rsidR="008032B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2B5CC6"/>
    <w:multiLevelType w:val="hybridMultilevel"/>
    <w:tmpl w:val="7BF28CCC"/>
    <w:lvl w:ilvl="0" w:tplc="EF4CD712">
      <w:start w:val="1"/>
      <w:numFmt w:val="bullet"/>
      <w:lvlText w:val="●"/>
      <w:lvlJc w:val="left"/>
      <w:pPr>
        <w:ind w:left="720" w:hanging="360"/>
      </w:pPr>
    </w:lvl>
    <w:lvl w:ilvl="1" w:tplc="84760A18">
      <w:start w:val="1"/>
      <w:numFmt w:val="bullet"/>
      <w:lvlText w:val="○"/>
      <w:lvlJc w:val="left"/>
      <w:pPr>
        <w:ind w:left="1440" w:hanging="360"/>
      </w:pPr>
    </w:lvl>
    <w:lvl w:ilvl="2" w:tplc="76484C10">
      <w:start w:val="1"/>
      <w:numFmt w:val="bullet"/>
      <w:lvlText w:val="■"/>
      <w:lvlJc w:val="left"/>
      <w:pPr>
        <w:ind w:left="2160" w:hanging="360"/>
      </w:pPr>
    </w:lvl>
    <w:lvl w:ilvl="3" w:tplc="9B687B94">
      <w:start w:val="1"/>
      <w:numFmt w:val="bullet"/>
      <w:lvlText w:val="●"/>
      <w:lvlJc w:val="left"/>
      <w:pPr>
        <w:ind w:left="2880" w:hanging="360"/>
      </w:pPr>
    </w:lvl>
    <w:lvl w:ilvl="4" w:tplc="73B20CC6">
      <w:start w:val="1"/>
      <w:numFmt w:val="bullet"/>
      <w:lvlText w:val="○"/>
      <w:lvlJc w:val="left"/>
      <w:pPr>
        <w:ind w:left="3600" w:hanging="360"/>
      </w:pPr>
    </w:lvl>
    <w:lvl w:ilvl="5" w:tplc="66482E62">
      <w:start w:val="1"/>
      <w:numFmt w:val="bullet"/>
      <w:lvlText w:val="■"/>
      <w:lvlJc w:val="left"/>
      <w:pPr>
        <w:ind w:left="4320" w:hanging="360"/>
      </w:pPr>
    </w:lvl>
    <w:lvl w:ilvl="6" w:tplc="BD3EA1BA">
      <w:start w:val="1"/>
      <w:numFmt w:val="bullet"/>
      <w:lvlText w:val="●"/>
      <w:lvlJc w:val="left"/>
      <w:pPr>
        <w:ind w:left="5040" w:hanging="360"/>
      </w:pPr>
    </w:lvl>
    <w:lvl w:ilvl="7" w:tplc="D2F80584">
      <w:start w:val="1"/>
      <w:numFmt w:val="bullet"/>
      <w:lvlText w:val="●"/>
      <w:lvlJc w:val="left"/>
      <w:pPr>
        <w:ind w:left="5760" w:hanging="360"/>
      </w:pPr>
    </w:lvl>
    <w:lvl w:ilvl="8" w:tplc="1B2A62E2">
      <w:start w:val="1"/>
      <w:numFmt w:val="bullet"/>
      <w:lvlText w:val="●"/>
      <w:lvlJc w:val="left"/>
      <w:pPr>
        <w:ind w:left="6480" w:hanging="360"/>
      </w:pPr>
    </w:lvl>
  </w:abstractNum>
  <w:abstractNum w:abstractNumId="1" w15:restartNumberingAfterBreak="0">
    <w:nsid w:val="43914B9A"/>
    <w:multiLevelType w:val="hybridMultilevel"/>
    <w:tmpl w:val="264A31F6"/>
    <w:lvl w:ilvl="0" w:tplc="10D65130">
      <w:start w:val="1"/>
      <w:numFmt w:val="bullet"/>
      <w:lvlText w:val="•"/>
      <w:lvlJc w:val="left"/>
      <w:pPr>
        <w:ind w:left="520" w:hanging="260"/>
      </w:pPr>
    </w:lvl>
    <w:lvl w:ilvl="1" w:tplc="2F820848">
      <w:numFmt w:val="decimal"/>
      <w:lvlText w:val=""/>
      <w:lvlJc w:val="left"/>
    </w:lvl>
    <w:lvl w:ilvl="2" w:tplc="291099AC">
      <w:numFmt w:val="decimal"/>
      <w:lvlText w:val=""/>
      <w:lvlJc w:val="left"/>
    </w:lvl>
    <w:lvl w:ilvl="3" w:tplc="D8860CA6">
      <w:numFmt w:val="decimal"/>
      <w:lvlText w:val=""/>
      <w:lvlJc w:val="left"/>
    </w:lvl>
    <w:lvl w:ilvl="4" w:tplc="A5509B9A">
      <w:numFmt w:val="decimal"/>
      <w:lvlText w:val=""/>
      <w:lvlJc w:val="left"/>
    </w:lvl>
    <w:lvl w:ilvl="5" w:tplc="D9868148">
      <w:numFmt w:val="decimal"/>
      <w:lvlText w:val=""/>
      <w:lvlJc w:val="left"/>
    </w:lvl>
    <w:lvl w:ilvl="6" w:tplc="2C4A5F1C">
      <w:numFmt w:val="decimal"/>
      <w:lvlText w:val=""/>
      <w:lvlJc w:val="left"/>
    </w:lvl>
    <w:lvl w:ilvl="7" w:tplc="33E2C822">
      <w:numFmt w:val="decimal"/>
      <w:lvlText w:val=""/>
      <w:lvlJc w:val="left"/>
    </w:lvl>
    <w:lvl w:ilvl="8" w:tplc="3F74D332">
      <w:numFmt w:val="decimal"/>
      <w:lvlText w:val=""/>
      <w:lvlJc w:val="left"/>
    </w:lvl>
  </w:abstractNum>
  <w:num w:numId="1" w16cid:durableId="1742368911">
    <w:abstractNumId w:val="0"/>
    <w:lvlOverride w:ilvl="0">
      <w:startOverride w:val="1"/>
    </w:lvlOverride>
  </w:num>
  <w:num w:numId="2" w16cid:durableId="15536173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isplayBackgroundShape/>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32B6"/>
    <w:rsid w:val="00035280"/>
    <w:rsid w:val="000C15EF"/>
    <w:rsid w:val="00126AC7"/>
    <w:rsid w:val="0017186C"/>
    <w:rsid w:val="001E0F7B"/>
    <w:rsid w:val="002A605E"/>
    <w:rsid w:val="002C4390"/>
    <w:rsid w:val="003F07AB"/>
    <w:rsid w:val="003F7563"/>
    <w:rsid w:val="0045717C"/>
    <w:rsid w:val="005D17B2"/>
    <w:rsid w:val="005F2DC4"/>
    <w:rsid w:val="006A540F"/>
    <w:rsid w:val="007243F5"/>
    <w:rsid w:val="00753B57"/>
    <w:rsid w:val="008032B6"/>
    <w:rsid w:val="00835EE3"/>
    <w:rsid w:val="008E302B"/>
    <w:rsid w:val="00955A77"/>
    <w:rsid w:val="009A7AA2"/>
    <w:rsid w:val="009F6958"/>
    <w:rsid w:val="00A3793A"/>
    <w:rsid w:val="00AC011A"/>
    <w:rsid w:val="00B503FC"/>
    <w:rsid w:val="00B631C3"/>
    <w:rsid w:val="00B964FB"/>
    <w:rsid w:val="00BF7CB8"/>
    <w:rsid w:val="00C367AB"/>
    <w:rsid w:val="00C8054D"/>
    <w:rsid w:val="00C962E9"/>
    <w:rsid w:val="00CE3F09"/>
    <w:rsid w:val="00CE676A"/>
    <w:rsid w:val="00CF40F2"/>
    <w:rsid w:val="00D722DA"/>
    <w:rsid w:val="00DB60A7"/>
    <w:rsid w:val="00DF2911"/>
    <w:rsid w:val="00E66B88"/>
    <w:rsid w:val="00FB4E70"/>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401F4"/>
  <w15:docId w15:val="{BE3FA25A-FFB6-4571-9DBA-698F25FB3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de-CH" w:eastAsia="de-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 w:type="character" w:styleId="NichtaufgelsteErwhnung">
    <w:name w:val="Unresolved Mention"/>
    <w:basedOn w:val="Absatz-Standardschriftart"/>
    <w:uiPriority w:val="99"/>
    <w:semiHidden/>
    <w:unhideWhenUsed/>
    <w:rsid w:val="009F6958"/>
    <w:rPr>
      <w:color w:val="605E5C"/>
      <w:shd w:val="clear" w:color="auto" w:fill="E1DFDD"/>
    </w:rPr>
  </w:style>
  <w:style w:type="paragraph" w:styleId="StandardWeb">
    <w:name w:val="Normal (Web)"/>
    <w:basedOn w:val="Standard"/>
    <w:uiPriority w:val="99"/>
    <w:semiHidden/>
    <w:unhideWhenUsed/>
    <w:rsid w:val="006A540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uniprot.org/uniprotkb/P59533/entry" TargetMode="External"/><Relationship Id="rId3" Type="http://schemas.openxmlformats.org/officeDocument/2006/relationships/settings" Target="settings.xml"/><Relationship Id="rId7" Type="http://schemas.openxmlformats.org/officeDocument/2006/relationships/hyperlink" Target="https://www.uniprot.org/uniprotkb/P59533/entr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csb.org/3d-view/AF_AFP59533F1/deposited" TargetMode="External"/><Relationship Id="rId11" Type="http://schemas.openxmlformats.org/officeDocument/2006/relationships/theme" Target="theme/theme1.xml"/><Relationship Id="rId5" Type="http://schemas.openxmlformats.org/officeDocument/2006/relationships/hyperlink" Target="https://www.science.org/doi/10.1126/science.1080190%20Tabelle%201%20/Figure%202"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ubmed.ncbi.nlm.nih.gov/23741366/"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1100</Words>
  <Characters>6931</Characters>
  <Application>Microsoft Office Word</Application>
  <DocSecurity>0</DocSecurity>
  <Lines>57</Lines>
  <Paragraphs>16</Paragraphs>
  <ScaleCrop>false</ScaleCrop>
  <Company/>
  <LinksUpToDate>false</LinksUpToDate>
  <CharactersWithSpaces>8015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Dinter André</cp:lastModifiedBy>
  <cp:revision>35</cp:revision>
  <cp:lastPrinted>2026-07-22T05:59:00Z</cp:lastPrinted>
  <dcterms:created xsi:type="dcterms:W3CDTF">2026-07-21T17:49:00Z</dcterms:created>
  <dcterms:modified xsi:type="dcterms:W3CDTF">2026-07-22T15:16:00Z</dcterms:modified>
</cp:coreProperties>
</file>