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SPF-Tage · Bitterrezeptoren</w:t>
      </w:r>
    </w:p>
    <w:p>
      <w:pPr>
        <w:spacing w:after="50"/>
      </w:pPr>
      <w:r>
        <w:rPr>
          <w:b/>
          <w:bCs/>
          <w:sz w:val="34"/>
          <w:szCs w:val="34"/>
        </w:rPr>
        <w:t xml:space="preserve">Handreichung: konstruktive Einheit (Placemat + Concept Map)</w:t>
      </w:r>
    </w:p>
    <w:p>
      <w:pPr>
        <w:spacing w:after="60"/>
      </w:pPr>
      <w:r>
        <w:rPr>
          <w:color w:val="595959"/>
          <w:sz w:val="22"/>
          <w:szCs w:val="22"/>
        </w:rPr>
        <w:t xml:space="preserve">≈ 45 Minuten · kooperativ · aus der Präsentation abgeleitet</w:t>
      </w:r>
    </w:p>
    <w:p>
      <w:pPr>
        <w:pBdr>
          <w:bottom w:val="single" w:color="1F4E79" w:sz="12"/>
        </w:pBdr>
        <w:spacing w:after="170"/>
      </w:pPr>
    </w:p>
    <w:p>
      <w:pPr>
        <w:pStyle w:val="Heading1"/>
        <w:spacing w:after="120" w:before="280"/>
      </w:pPr>
      <w:r>
        <w:rPr>
          <w:b/>
          <w:bCs/>
          <w:color w:val="1F4E79"/>
        </w:rPr>
        <w:t xml:space="preserve">1  Idee</w:t>
      </w:r>
    </w:p>
    <w:p>
      <w:pPr>
        <w:spacing w:after="120" w:line="276"/>
      </w:pPr>
      <w:r>
        <w:t xml:space="preserve">Der Theorie-Foliensatz «Bitterstoff-Rezeptor-Polymorphismus» wird nicht frontal vorgetragen, sondern von den Studierenden selbst rekonstruiert. Zuerst aktivieren sie ihr Wissen im Placemat, dann konstruieren sie mit Begriffskarten eine Concept Map der ganzen Kette. Die pptx dient als Referenz/Nachschlagewerk, nicht als Vortrag.</w:t>
      </w:r>
    </w:p>
    <w:p>
      <w:pPr>
        <w:pStyle w:val="Heading1"/>
        <w:spacing w:after="120" w:before="280"/>
      </w:pPr>
      <w:r>
        <w:rPr>
          <w:b/>
          <w:bCs/>
          <w:color w:val="1F4E79"/>
        </w:rPr>
        <w:t xml:space="preserve">2  Material &amp; Vorbereitung</w:t>
      </w:r>
    </w:p>
    <w:p>
      <w:pPr>
        <w:pStyle w:val="ListParagraph"/>
        <w:numPr>
          <w:ilvl w:val="0"/>
          <w:numId w:val="1"/>
        </w:numPr>
        <w:spacing w:after="60" w:line="264"/>
      </w:pPr>
      <w:r>
        <w:t xml:space="preserve">Gruppen zu 3–4 Personen. Pro Gruppe: 1 Placemat-Vorlage (A4/A3 quer), 1 Satz Begriffskarten (ausgeschnitten), 1 grosses Blatt + Leim, dicke Stifte.</w:t>
      </w:r>
    </w:p>
    <w:p>
      <w:pPr>
        <w:pStyle w:val="ListParagraph"/>
        <w:numPr>
          <w:ilvl w:val="0"/>
          <w:numId w:val="1"/>
        </w:numPr>
        <w:spacing w:after="60" w:line="264"/>
      </w:pPr>
      <w:r>
        <w:t xml:space="preserve">Pro Person: Infoblatt als Referenz.</w:t>
      </w:r>
    </w:p>
    <w:p>
      <w:pPr>
        <w:pStyle w:val="ListParagraph"/>
        <w:numPr>
          <w:ilvl w:val="0"/>
          <w:numId w:val="1"/>
        </w:numPr>
        <w:spacing w:after="60" w:line="264"/>
      </w:pPr>
      <w:r>
        <w:t xml:space="preserve">Optional projiziert: einzelne Folien als Anschauung (z. B. Duffy-PROP-Kurve, ARMS-Schema).</w:t>
      </w:r>
    </w:p>
    <w:p>
      <w:pPr>
        <w:pStyle w:val="Heading1"/>
        <w:spacing w:after="120" w:before="280"/>
      </w:pPr>
      <w:r>
        <w:rPr>
          <w:b/>
          <w:bCs/>
          <w:color w:val="1F4E79"/>
        </w:rPr>
        <w:t xml:space="preserve">3  Ablauf (≈ 45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600"/>
      </w:tblGrid>
      <w:tr>
        <w:trPr>
          <w:tblHeader/>
        </w:trPr>
        <w:tc>
          <w:tcPr>
            <w:tcW w:type="dxa" w:w="1400"/>
            <w:shd w:fill="1F4E79" w:color="auto" w:val="clear"/>
            <w:tcMar>
              <w:top w:type="dxa" w:w="60"/>
              <w:left w:type="dxa" w:w="90"/>
              <w:bottom w:type="dxa" w:w="60"/>
              <w:right w:type="dxa" w:w="90"/>
            </w:tcMar>
          </w:tcPr>
          <w:p>
            <w:pPr>
              <w:spacing w:after="20" w:line="252"/>
            </w:pPr>
            <w:r>
              <w:rPr>
                <w:b/>
                <w:bCs/>
                <w:color w:val="FFFFFF"/>
              </w:rPr>
              <w:t xml:space="preserve">Zeit</w:t>
            </w:r>
          </w:p>
        </w:tc>
        <w:tc>
          <w:tcPr>
            <w:tcW w:type="dxa" w:w="4200"/>
            <w:shd w:fill="1F4E79" w:color="auto" w:val="clear"/>
            <w:tcMar>
              <w:top w:type="dxa" w:w="60"/>
              <w:left w:type="dxa" w:w="90"/>
              <w:bottom w:type="dxa" w:w="60"/>
              <w:right w:type="dxa" w:w="90"/>
            </w:tcMar>
          </w:tcPr>
          <w:p>
            <w:pPr>
              <w:spacing w:after="20" w:line="252"/>
            </w:pPr>
            <w:r>
              <w:rPr>
                <w:b/>
                <w:bCs/>
                <w:color w:val="FFFFFF"/>
              </w:rPr>
              <w:t xml:space="preserve">Phase</w:t>
            </w:r>
          </w:p>
        </w:tc>
        <w:tc>
          <w:tcPr>
            <w:tcW w:type="dxa" w:w="3600"/>
            <w:shd w:fill="1F4E79" w:color="auto" w:val="clear"/>
            <w:tcMar>
              <w:top w:type="dxa" w:w="60"/>
              <w:left w:type="dxa" w:w="90"/>
              <w:bottom w:type="dxa" w:w="60"/>
              <w:right w:type="dxa" w:w="90"/>
            </w:tcMar>
          </w:tcPr>
          <w:p>
            <w:pPr>
              <w:spacing w:after="20" w:line="252"/>
            </w:pPr>
            <w:r>
              <w:rPr>
                <w:b/>
                <w:bCs/>
                <w:color w:val="FFFFFF"/>
              </w:rPr>
              <w:t xml:space="preserve">Rolle Lehrperson</w:t>
            </w:r>
          </w:p>
        </w:tc>
      </w:tr>
      <w:tr>
        <w:tc>
          <w:tcPr>
            <w:tcW w:type="dxa" w:w="1400"/>
            <w:shd w:fill="F2F2F2" w:color="auto" w:val="clear"/>
            <w:tcMar>
              <w:top w:type="dxa" w:w="60"/>
              <w:left w:type="dxa" w:w="90"/>
              <w:bottom w:type="dxa" w:w="60"/>
              <w:right w:type="dxa" w:w="90"/>
            </w:tcMar>
          </w:tcPr>
          <w:p>
            <w:pPr>
              <w:spacing w:after="20" w:line="252"/>
            </w:pPr>
            <w:r>
              <w:rPr>
                <w:b w:val="false"/>
                <w:bCs w:val="false"/>
                <w:color w:val="000000"/>
              </w:rPr>
              <w:t xml:space="preserve">0:00–0:05</w:t>
            </w:r>
          </w:p>
        </w:tc>
        <w:tc>
          <w:tcPr>
            <w:tcW w:type="dxa" w:w="4200"/>
            <w:shd w:fill="F2F2F2" w:color="auto" w:val="clear"/>
            <w:tcMar>
              <w:top w:type="dxa" w:w="60"/>
              <w:left w:type="dxa" w:w="90"/>
              <w:bottom w:type="dxa" w:w="60"/>
              <w:right w:type="dxa" w:w="90"/>
            </w:tcMar>
          </w:tcPr>
          <w:p>
            <w:pPr>
              <w:spacing w:after="20" w:line="252"/>
            </w:pPr>
            <w:r>
              <w:rPr>
                <w:b w:val="false"/>
                <w:bCs w:val="false"/>
                <w:color w:val="000000"/>
              </w:rPr>
              <w:t xml:space="preserve">Einstieg: Hook (Rosenkohl/PTC) + Leitfrage, Gruppen bilden</w:t>
            </w:r>
          </w:p>
        </w:tc>
        <w:tc>
          <w:tcPr>
            <w:tcW w:type="dxa" w:w="3600"/>
            <w:shd w:fill="F2F2F2" w:color="auto" w:val="clear"/>
            <w:tcMar>
              <w:top w:type="dxa" w:w="60"/>
              <w:left w:type="dxa" w:w="90"/>
              <w:bottom w:type="dxa" w:w="60"/>
              <w:right w:type="dxa" w:w="90"/>
            </w:tcMar>
          </w:tcPr>
          <w:p>
            <w:pPr>
              <w:spacing w:after="20" w:line="252"/>
            </w:pPr>
            <w:r>
              <w:rPr>
                <w:b w:val="false"/>
                <w:bCs w:val="false"/>
                <w:color w:val="000000"/>
              </w:rPr>
              <w:t xml:space="preserve">Kurz, Neugier wecken</w:t>
            </w:r>
          </w:p>
        </w:tc>
      </w:tr>
      <w:tr>
        <w:tc>
          <w:tcPr>
            <w:tcW w:type="dxa" w:w="1400"/>
            <w:tcMar>
              <w:top w:type="dxa" w:w="60"/>
              <w:left w:type="dxa" w:w="90"/>
              <w:bottom w:type="dxa" w:w="60"/>
              <w:right w:type="dxa" w:w="90"/>
            </w:tcMar>
          </w:tcPr>
          <w:p>
            <w:pPr>
              <w:spacing w:after="20" w:line="252"/>
            </w:pPr>
            <w:r>
              <w:rPr>
                <w:b w:val="false"/>
                <w:bCs w:val="false"/>
                <w:color w:val="000000"/>
              </w:rPr>
              <w:t xml:space="preserve">0:05–0:17</w:t>
            </w:r>
          </w:p>
        </w:tc>
        <w:tc>
          <w:tcPr>
            <w:tcW w:type="dxa" w:w="4200"/>
            <w:tcMar>
              <w:top w:type="dxa" w:w="60"/>
              <w:left w:type="dxa" w:w="90"/>
              <w:bottom w:type="dxa" w:w="60"/>
              <w:right w:type="dxa" w:w="90"/>
            </w:tcMar>
          </w:tcPr>
          <w:p>
            <w:pPr>
              <w:spacing w:after="20" w:line="252"/>
            </w:pPr>
            <w:r>
              <w:rPr>
                <w:b w:val="false"/>
                <w:bCs w:val="false"/>
                <w:color w:val="000000"/>
              </w:rPr>
              <w:t xml:space="preserve">Placemat: 4 Min. allein, dann 8 Min. Konsens</w:t>
            </w:r>
          </w:p>
        </w:tc>
        <w:tc>
          <w:tcPr>
            <w:tcW w:type="dxa" w:w="3600"/>
            <w:tcMar>
              <w:top w:type="dxa" w:w="60"/>
              <w:left w:type="dxa" w:w="90"/>
              <w:bottom w:type="dxa" w:w="60"/>
              <w:right w:type="dxa" w:w="90"/>
            </w:tcMar>
          </w:tcPr>
          <w:p>
            <w:pPr>
              <w:spacing w:after="20" w:line="252"/>
            </w:pPr>
            <w:r>
              <w:rPr>
                <w:b w:val="false"/>
                <w:bCs w:val="false"/>
                <w:color w:val="000000"/>
              </w:rPr>
              <w:t xml:space="preserve">Beobachten, nicht eingreifen</w:t>
            </w:r>
          </w:p>
        </w:tc>
      </w:tr>
      <w:tr>
        <w:tc>
          <w:tcPr>
            <w:tcW w:type="dxa" w:w="1400"/>
            <w:shd w:fill="F2F2F2" w:color="auto" w:val="clear"/>
            <w:tcMar>
              <w:top w:type="dxa" w:w="60"/>
              <w:left w:type="dxa" w:w="90"/>
              <w:bottom w:type="dxa" w:w="60"/>
              <w:right w:type="dxa" w:w="90"/>
            </w:tcMar>
          </w:tcPr>
          <w:p>
            <w:pPr>
              <w:spacing w:after="20" w:line="252"/>
            </w:pPr>
            <w:r>
              <w:rPr>
                <w:b w:val="false"/>
                <w:bCs w:val="false"/>
                <w:color w:val="000000"/>
              </w:rPr>
              <w:t xml:space="preserve">0:17–0:35</w:t>
            </w:r>
          </w:p>
        </w:tc>
        <w:tc>
          <w:tcPr>
            <w:tcW w:type="dxa" w:w="4200"/>
            <w:shd w:fill="F2F2F2" w:color="auto" w:val="clear"/>
            <w:tcMar>
              <w:top w:type="dxa" w:w="60"/>
              <w:left w:type="dxa" w:w="90"/>
              <w:bottom w:type="dxa" w:w="60"/>
              <w:right w:type="dxa" w:w="90"/>
            </w:tcMar>
          </w:tcPr>
          <w:p>
            <w:pPr>
              <w:spacing w:after="20" w:line="252"/>
            </w:pPr>
            <w:r>
              <w:rPr>
                <w:b w:val="false"/>
                <w:bCs w:val="false"/>
                <w:color w:val="000000"/>
              </w:rPr>
              <w:t xml:space="preserve">Concept Map mit Begriffskarten + Infoblatt</w:t>
            </w:r>
          </w:p>
        </w:tc>
        <w:tc>
          <w:tcPr>
            <w:tcW w:type="dxa" w:w="3600"/>
            <w:shd w:fill="F2F2F2" w:color="auto" w:val="clear"/>
            <w:tcMar>
              <w:top w:type="dxa" w:w="60"/>
              <w:left w:type="dxa" w:w="90"/>
              <w:bottom w:type="dxa" w:w="60"/>
              <w:right w:type="dxa" w:w="90"/>
            </w:tcMar>
          </w:tcPr>
          <w:p>
            <w:pPr>
              <w:spacing w:after="20" w:line="252"/>
            </w:pPr>
            <w:r>
              <w:rPr>
                <w:b w:val="false"/>
                <w:bCs w:val="false"/>
                <w:color w:val="000000"/>
              </w:rPr>
              <w:t xml:space="preserve">Impulse per Rückfrage, Verbindungswörter einfordern</w:t>
            </w:r>
          </w:p>
        </w:tc>
      </w:tr>
      <w:tr>
        <w:tc>
          <w:tcPr>
            <w:tcW w:type="dxa" w:w="1400"/>
            <w:tcMar>
              <w:top w:type="dxa" w:w="60"/>
              <w:left w:type="dxa" w:w="90"/>
              <w:bottom w:type="dxa" w:w="60"/>
              <w:right w:type="dxa" w:w="90"/>
            </w:tcMar>
          </w:tcPr>
          <w:p>
            <w:pPr>
              <w:spacing w:after="20" w:line="252"/>
            </w:pPr>
            <w:r>
              <w:rPr>
                <w:b w:val="false"/>
                <w:bCs w:val="false"/>
                <w:color w:val="000000"/>
              </w:rPr>
              <w:t xml:space="preserve">0:35–0:42</w:t>
            </w:r>
          </w:p>
        </w:tc>
        <w:tc>
          <w:tcPr>
            <w:tcW w:type="dxa" w:w="4200"/>
            <w:tcMar>
              <w:top w:type="dxa" w:w="60"/>
              <w:left w:type="dxa" w:w="90"/>
              <w:bottom w:type="dxa" w:w="60"/>
              <w:right w:type="dxa" w:w="90"/>
            </w:tcMar>
          </w:tcPr>
          <w:p>
            <w:pPr>
              <w:spacing w:after="20" w:line="252"/>
            </w:pPr>
            <w:r>
              <w:rPr>
                <w:b w:val="false"/>
                <w:bCs w:val="false"/>
                <w:color w:val="000000"/>
              </w:rPr>
              <w:t xml:space="preserve">Galerierundgang: fremde Maps ansehen, ergänzen</w:t>
            </w:r>
          </w:p>
        </w:tc>
        <w:tc>
          <w:tcPr>
            <w:tcW w:type="dxa" w:w="3600"/>
            <w:tcMar>
              <w:top w:type="dxa" w:w="60"/>
              <w:left w:type="dxa" w:w="90"/>
              <w:bottom w:type="dxa" w:w="60"/>
              <w:right w:type="dxa" w:w="90"/>
            </w:tcMar>
          </w:tcPr>
          <w:p>
            <w:pPr>
              <w:spacing w:after="20" w:line="252"/>
            </w:pPr>
            <w:r>
              <w:rPr>
                <w:b w:val="false"/>
                <w:bCs w:val="false"/>
                <w:color w:val="000000"/>
              </w:rPr>
              <w:t xml:space="preserve">Vergleich anregen</w:t>
            </w:r>
          </w:p>
        </w:tc>
      </w:tr>
      <w:tr>
        <w:tc>
          <w:tcPr>
            <w:tcW w:type="dxa" w:w="1400"/>
            <w:shd w:fill="F2F2F2" w:color="auto" w:val="clear"/>
            <w:tcMar>
              <w:top w:type="dxa" w:w="60"/>
              <w:left w:type="dxa" w:w="90"/>
              <w:bottom w:type="dxa" w:w="60"/>
              <w:right w:type="dxa" w:w="90"/>
            </w:tcMar>
          </w:tcPr>
          <w:p>
            <w:pPr>
              <w:spacing w:after="20" w:line="252"/>
            </w:pPr>
            <w:r>
              <w:rPr>
                <w:b w:val="false"/>
                <w:bCs w:val="false"/>
                <w:color w:val="000000"/>
              </w:rPr>
              <w:t xml:space="preserve">0:42–0:45</w:t>
            </w:r>
          </w:p>
        </w:tc>
        <w:tc>
          <w:tcPr>
            <w:tcW w:type="dxa" w:w="4200"/>
            <w:shd w:fill="F2F2F2" w:color="auto" w:val="clear"/>
            <w:tcMar>
              <w:top w:type="dxa" w:w="60"/>
              <w:left w:type="dxa" w:w="90"/>
              <w:bottom w:type="dxa" w:w="60"/>
              <w:right w:type="dxa" w:w="90"/>
            </w:tcMar>
          </w:tcPr>
          <w:p>
            <w:pPr>
              <w:spacing w:after="20" w:line="252"/>
            </w:pPr>
            <w:r>
              <w:rPr>
                <w:b w:val="false"/>
                <w:bCs w:val="false"/>
                <w:color w:val="000000"/>
              </w:rPr>
              <w:t xml:space="preserve">Sicherung: Kernkette im Plenum, Muster-Map zeigen</w:t>
            </w:r>
          </w:p>
        </w:tc>
        <w:tc>
          <w:tcPr>
            <w:tcW w:type="dxa" w:w="3600"/>
            <w:shd w:fill="F2F2F2" w:color="auto" w:val="clear"/>
            <w:tcMar>
              <w:top w:type="dxa" w:w="60"/>
              <w:left w:type="dxa" w:w="90"/>
              <w:bottom w:type="dxa" w:w="60"/>
              <w:right w:type="dxa" w:w="90"/>
            </w:tcMar>
          </w:tcPr>
          <w:p>
            <w:pPr>
              <w:spacing w:after="20" w:line="252"/>
            </w:pPr>
            <w:r>
              <w:rPr>
                <w:b w:val="false"/>
                <w:bCs w:val="false"/>
                <w:color w:val="000000"/>
              </w:rPr>
              <w:t xml:space="preserve">Bündeln, Erkenntnisse loben</w:t>
            </w:r>
          </w:p>
        </w:tc>
      </w:tr>
    </w:tbl>
    <w:p>
      <w:pPr>
        <w:spacing w:after="120" w:line="276"/>
      </w:pPr>
      <w:r>
        <w:t xml:space="preserve"/>
      </w:r>
    </w:p>
    <w:p>
      <w:pPr>
        <w:pStyle w:val="Heading1"/>
        <w:spacing w:after="120" w:before="280"/>
      </w:pPr>
      <w:r>
        <w:rPr>
          <w:b/>
          <w:bCs/>
          <w:color w:val="1F4E79"/>
        </w:rPr>
        <w:t xml:space="preserve">4  Moderationsimpulse &amp; Stolpersteine</w:t>
      </w:r>
    </w:p>
    <w:p>
      <w:pPr>
        <w:pStyle w:val="ListParagraph"/>
        <w:numPr>
          <w:ilvl w:val="0"/>
          <w:numId w:val="1"/>
        </w:numPr>
        <w:spacing w:after="60" w:line="264"/>
      </w:pPr>
      <w:r>
        <w:rPr>
          <w:b/>
          <w:bCs/>
        </w:rPr>
        <w:t xml:space="preserve">Pfeile beschriften. </w:t>
      </w:r>
      <w:r>
        <w:t xml:space="preserve">Der Lerngewinn steckt in den Verbindungswörtern, nicht im blossen Nebeneinanderlegen. Konsequent einfordern.</w:t>
      </w:r>
    </w:p>
    <w:p>
      <w:pPr>
        <w:pStyle w:val="ListParagraph"/>
        <w:numPr>
          <w:ilvl w:val="0"/>
          <w:numId w:val="1"/>
        </w:numPr>
        <w:spacing w:after="60" w:line="264"/>
      </w:pPr>
      <w:r>
        <w:rPr>
          <w:b/>
          <w:bCs/>
        </w:rPr>
        <w:t xml:space="preserve">Genetik-Scharnier. </w:t>
      </w:r>
      <w:r>
        <w:t xml:space="preserve">Fragen: «Wo genau entscheidet sich Taster oder Non-Taster?» → am SNP / Allel.</w:t>
      </w:r>
    </w:p>
    <w:p>
      <w:pPr>
        <w:pStyle w:val="ListParagraph"/>
        <w:numPr>
          <w:ilvl w:val="0"/>
          <w:numId w:val="1"/>
        </w:numPr>
        <w:spacing w:after="60" w:line="264"/>
      </w:pPr>
      <w:r>
        <w:rPr>
          <w:b/>
          <w:bCs/>
        </w:rPr>
        <w:t xml:space="preserve">Dominanz. </w:t>
      </w:r>
      <w:r>
        <w:t xml:space="preserve">Häufiger Denkfehler: Ein heterozygoter Mensch ist Taster, weil das C-Allel dominant ist.</w:t>
      </w:r>
    </w:p>
    <w:p>
      <w:pPr>
        <w:pStyle w:val="ListParagraph"/>
        <w:numPr>
          <w:ilvl w:val="0"/>
          <w:numId w:val="1"/>
        </w:numPr>
        <w:spacing w:after="60" w:line="264"/>
      </w:pPr>
      <w:r>
        <w:rPr>
          <w:b/>
          <w:bCs/>
        </w:rPr>
        <w:t xml:space="preserve">Zwei Zweige verbinden. </w:t>
      </w:r>
      <w:r>
        <w:t xml:space="preserve">Der Phänotyp-Zweig (schmecken) und der Labor-Zweig (Banden) beschreiben dieselbe Person – die Map soll beide verknüpfen.</w:t>
      </w:r>
    </w:p>
    <w:p>
      <w:pPr>
        <w:pStyle w:val="Heading1"/>
        <w:spacing w:after="120" w:before="280"/>
      </w:pPr>
      <w:r>
        <w:rPr>
          <w:b/>
          <w:bCs/>
          <w:color w:val="1F4E79"/>
        </w:rPr>
        <w:t xml:space="preserve">5  Muster-Concept-Map (Lösungshilfe)</w:t>
      </w:r>
    </w:p>
    <w:p>
      <w:pPr>
        <w:spacing w:after="120" w:line="276"/>
      </w:pPr>
      <w:r>
        <w:t xml:space="preserve">Eine mögliche Lösung – nicht die einzige. Studierende dürfen anders gliedern, solange die Beziehungen stimmen.</w:t>
      </w:r>
    </w:p>
    <w:p>
      <w:pPr>
        <w:spacing w:after="60" w:before="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267200"/>
                    </a:xfrm>
                    <a:prstGeom prst="rect">
                      <a:avLst/>
                    </a:prstGeom>
                  </pic:spPr>
                </pic:pic>
              </a:graphicData>
            </a:graphic>
          </wp:inline>
        </w:drawing>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ba5c1ae374ee4d1f7f44ef70f7e29d634d1b1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2026-07-11T18:07:04.068Z</dcterms:created>
  <dcterms:modified xsi:type="dcterms:W3CDTF">2026-07-11T18:07:04.068Z</dcterms:modified>
</cp:coreProperties>
</file>

<file path=docProps/custom.xml><?xml version="1.0" encoding="utf-8"?>
<Properties xmlns="http://schemas.openxmlformats.org/officeDocument/2006/custom-properties" xmlns:vt="http://schemas.openxmlformats.org/officeDocument/2006/docPropsVTypes"/>
</file>