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20"/>
          <w:szCs w:val="20"/>
        </w:rPr>
        <w:t xml:space="preserve">SPF-Tage · Bitterrezeptoren</w:t>
      </w:r>
    </w:p>
    <w:p>
      <w:pPr>
        <w:spacing w:after="50"/>
      </w:pPr>
      <w:r>
        <w:rPr>
          <w:b/>
          <w:bCs/>
          <w:sz w:val="34"/>
          <w:szCs w:val="34"/>
        </w:rPr>
        <w:t xml:space="preserve">Concept Map: die ganze Kette verknüpfen</w:t>
      </w:r>
    </w:p>
    <w:p>
      <w:pPr>
        <w:spacing w:after="60"/>
      </w:pPr>
      <w:r>
        <w:rPr>
          <w:color w:val="595959"/>
          <w:sz w:val="22"/>
          <w:szCs w:val="22"/>
        </w:rPr>
        <w:t xml:space="preserve">Auftrag + Begriffskarten (in der Gruppe)</w:t>
      </w:r>
    </w:p>
    <w:p>
      <w:pPr>
        <w:pBdr>
          <w:bottom w:val="single" w:color="1F4E79" w:sz="12"/>
        </w:pBdr>
        <w:spacing w:after="170"/>
      </w:pPr>
    </w:p>
    <w:p>
      <w:pPr>
        <w:spacing w:after="120" w:line="276"/>
      </w:pPr>
      <w:r>
        <w:rPr>
          <w:b/>
          <w:bCs/>
        </w:rPr>
        <w:t xml:space="preserve">Ziel: </w:t>
      </w:r>
      <w:r>
        <w:t xml:space="preserve">Ihr baut gemeinsam eine Concept Map, die den Weg vom Bitterstoff im Essen bis zur Bande auf dem Gel zeigt – und erklärt, wo die Genetik entscheidet.</w:t>
      </w:r>
    </w:p>
    <w:p>
      <w:pPr>
        <w:pStyle w:val="Heading2"/>
        <w:spacing w:after="80" w:before="200"/>
      </w:pPr>
      <w:r>
        <w:rPr>
          <w:b/>
          <w:bCs/>
          <w:color w:val="1F4E79"/>
        </w:rPr>
        <w:t xml:space="preserve">Auftrag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Schneidet die Begriffskarten aus und legt sie vor euch aus.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Ordnet die Karten so an, dass Zusammenhänge sichtbar werden. Nutzt bei Bedarf das Infoblatt.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Verbindet die Karten mit Pfeilen und beschriftet jeden Pfeil mit einem Verbindungswort</w:t>
      </w:r>
      <w:r>
        <w:rPr>
          <w:i/>
          <w:iCs/>
        </w:rPr>
        <w:t xml:space="preserve"> (z. B. aktivieren, codiert durch, variiert an, ergibt, nachweisbar mit, deutet auf).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Baut die durchgehende Kette: Bitterstoff → Rezeptor → Gen → SNP → Allel → Phänotyp, und den Zweig ARMS-PCR → Banden → Genotyp.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Markiert die Stelle, an der die genetische Variation (der SNP) über Taster / Non-Taster entscheidet.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Klebt die Karten auf ein Blatt und ergänzt 1–2 eigene Begriffe.</w:t>
      </w:r>
    </w:p>
    <w:p>
      <w:pPr>
        <w:pStyle w:val="Heading2"/>
        <w:spacing w:after="80" w:before="200"/>
      </w:pPr>
      <w:r>
        <w:rPr>
          <w:b/>
          <w:bCs/>
          <w:color w:val="1F4E79"/>
        </w:rPr>
        <w:t xml:space="preserve">Begriffskarten (zum Ausschneiden)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rHeight w:val="900" w:hRule="atLeast"/>
        </w:trPr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Bitterstoffe / Thioharnstoffe (N–C=S)</w:t>
            </w:r>
          </w:p>
        </w:tc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PTC / PROP</w:t>
            </w:r>
          </w:p>
        </w:tc>
      </w:tr>
      <w:tr>
        <w:trPr>
          <w:trHeight w:val="900" w:hRule="atLeast"/>
        </w:trPr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Sinigrin (Rosenkohl, Brokkoli)</w:t>
            </w:r>
          </w:p>
        </w:tc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Goitrin (Kohl)</w:t>
            </w:r>
          </w:p>
        </w:tc>
      </w:tr>
      <w:tr>
        <w:trPr>
          <w:trHeight w:val="900" w:hRule="atLeast"/>
        </w:trPr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Bitterrezeptor TAS2R38</w:t>
            </w:r>
          </w:p>
        </w:tc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Zunge / Rezeptorzellen</w:t>
            </w:r>
          </w:p>
        </w:tc>
      </w:tr>
      <w:tr>
        <w:trPr>
          <w:trHeight w:val="900" w:hRule="atLeast"/>
        </w:trPr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≥ 25 Bitterrezeptor-Typen</w:t>
            </w:r>
          </w:p>
        </w:tc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TAS2R38-Gen</w:t>
            </w:r>
          </w:p>
        </w:tc>
      </w:tr>
      <w:tr>
        <w:trPr>
          <w:trHeight w:val="900" w:hRule="atLeast"/>
        </w:trPr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SNP (Single Nucleotide Polymorphism)</w:t>
            </w:r>
          </w:p>
        </w:tc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rs713598 (G145C)</w:t>
            </w:r>
          </w:p>
        </w:tc>
      </w:tr>
      <w:tr>
        <w:trPr>
          <w:trHeight w:val="900" w:hRule="atLeast"/>
        </w:trPr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C-Allel → Prolin</w:t>
            </w:r>
          </w:p>
        </w:tc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G-Allel → Alanin</w:t>
            </w:r>
          </w:p>
        </w:tc>
      </w:tr>
      <w:tr>
        <w:trPr>
          <w:trHeight w:val="900" w:hRule="atLeast"/>
        </w:trPr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Taster-Allel (dominant)</w:t>
            </w:r>
          </w:p>
        </w:tc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Non-Taster (G homozygot)</w:t>
            </w:r>
          </w:p>
        </w:tc>
      </w:tr>
      <w:tr>
        <w:trPr>
          <w:trHeight w:val="900" w:hRule="atLeast"/>
        </w:trPr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Taster (≥ 1 C-Allel)</w:t>
            </w:r>
          </w:p>
        </w:tc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Phänotyp: bitter schmecken / nicht</w:t>
            </w:r>
          </w:p>
        </w:tc>
      </w:tr>
      <w:tr>
        <w:trPr>
          <w:trHeight w:val="900" w:hRule="atLeast"/>
        </w:trPr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ARMS-PCR (innere + äussere Primer)</w:t>
            </w:r>
          </w:p>
        </w:tc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640 bp = Kontrolle</w:t>
            </w:r>
          </w:p>
        </w:tc>
      </w:tr>
      <w:tr>
        <w:trPr>
          <w:trHeight w:val="900" w:hRule="atLeast"/>
        </w:trPr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436 bp = Non-Taster</w:t>
            </w:r>
          </w:p>
        </w:tc>
        <w:tc>
          <w:tcPr>
            <w:tcW w:type="dxa" w:w="465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281 bp = Taster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2026-07-11T18:07:04.028Z</dcterms:created>
  <dcterms:modified xsi:type="dcterms:W3CDTF">2026-07-11T18:07:04.028Z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