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SPF-Tage · Bitterrezeptoren</w:t>
      </w:r>
    </w:p>
    <w:p>
      <w:pPr>
        <w:spacing w:after="50"/>
      </w:pPr>
      <w:r>
        <w:rPr>
          <w:b/>
          <w:bCs/>
          <w:sz w:val="34"/>
          <w:szCs w:val="34"/>
        </w:rPr>
        <w:t xml:space="preserve">Infoblatt: Bitterschmecken – vom Molekül zum Gen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Kompakte Referenz für die Gruppenarbeit</w:t>
      </w:r>
    </w:p>
    <w:p>
      <w:pPr>
        <w:pBdr>
          <w:bottom w:val="single" w:color="1F4E79" w:sz="12"/>
        </w:pBdr>
        <w:spacing w:after="170"/>
      </w:pPr>
    </w:p>
    <w:p>
      <w:pPr>
        <w:pStyle w:val="Heading2"/>
        <w:spacing w:after="80" w:before="200"/>
      </w:pPr>
      <w:r>
        <w:rPr>
          <w:b/>
          <w:bCs/>
          <w:color w:val="1F4E79"/>
        </w:rPr>
        <w:t xml:space="preserve">A · Bitterstoffe und warum wir sie schmecken</w:t>
      </w:r>
    </w:p>
    <w:p>
      <w:pPr>
        <w:spacing w:after="120" w:line="276"/>
      </w:pPr>
      <w:r>
        <w:t xml:space="preserve">Vieler bitterer Geschmack stammt von Thioharnstoffverbindungen (Struktureinheit N–C=S). Dazu gehören die Testsubstanzen PTC (Phenylthiocarbamid) und PROP (6-n-Propylthiouracil) sowie natürliche Bitterstoffe wie Sinigrin (in Rosenkohl und Brokkoli), Goitrin (in Kohl) und Naringin (in Grapefruit).</w:t>
      </w:r>
    </w:p>
    <w:p>
      <w:pPr>
        <w:pStyle w:val="Heading2"/>
        <w:spacing w:after="80" w:before="200"/>
      </w:pPr>
      <w:r>
        <w:rPr>
          <w:b/>
          <w:bCs/>
          <w:color w:val="1F4E79"/>
        </w:rPr>
        <w:t xml:space="preserve">B · Der Bitterrezeptor TAS2R38 und die Taster-Variation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Thioharnstoffverbindungen aktivieren spezialisierte Bittergeschmacksrezeptoren (TAS2Rs) auf der Zungenoberfläche.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Es gibt mindestens 25 verschiedene Bittergeschmacksrezeptoren. TAS2R38 reagiert besonders empfindlich auf Thioharnstoffverbindungen.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Menschen unterscheiden sich stark: Manche empfinden PTC/PROP als extrem bitter (Supertaster), andere schmecken sie kaum oder gar nicht (Non-Taster) – mit Mediumtastern dazwischen.</w:t>
      </w:r>
    </w:p>
    <w:p>
      <w:pPr>
        <w:pStyle w:val="Heading2"/>
        <w:spacing w:after="80" w:before="200"/>
      </w:pPr>
      <w:r>
        <w:rPr>
          <w:b/>
          <w:bCs/>
          <w:color w:val="1F4E79"/>
        </w:rPr>
        <w:t xml:space="preserve">C · SNP und das Gen (rs713598)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Ein SNP (Single Nucleotide Polymorphism) ist die Veränderung eines einzelnen Nukleotids im Genom – eine Art Mutation, die bei mindestens 1 % der Bevölkerung vorkommt.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Im TAS2R38-Gen liegt der SNP rs713598 (chr7:141973545, G145C): An Position 145 steht entweder C oder G, was an Aminosäure 49 Prolin (C) oder Alanin (G) ergibt.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Das C-Allel ist das «Taster»-Allel und ist dominant. Non-Taster sind G-homozygot (zwei Alanin); Taster tragen mindestens ein C-Allel (Prolin).</w:t>
      </w:r>
    </w:p>
    <w:p>
      <w:pPr>
        <w:pStyle w:val="Heading2"/>
        <w:spacing w:after="80" w:before="200"/>
      </w:pPr>
      <w:r>
        <w:rPr>
          <w:b/>
          <w:bCs/>
          <w:color w:val="1F4E79"/>
        </w:rPr>
        <w:t xml:space="preserve">D · Nachweis: ARMS-PCR und Gelbanden</w:t>
      </w:r>
    </w:p>
    <w:p>
      <w:pPr>
        <w:spacing w:after="120" w:line="276"/>
      </w:pPr>
      <w:r>
        <w:t xml:space="preserve">Bei der ARMS-PCR werden zusätzlich zwei innere Primer eingesetzt, die nur an das jeweils passende Allel binden. Je nach Genotyp entstehen DNA-Fragmente unterschiedlicher Länge, die sich im Gel ablesen lassen: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0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</w:rPr>
              <w:t xml:space="preserve">Primerpaar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</w:rPr>
              <w:t xml:space="preserve">Bandenlänge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</w:rPr>
              <w:t xml:space="preserve">Bedeutung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 xml:space="preserve">Outer Fwd – Outer Rev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 xml:space="preserve">640 bp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 xml:space="preserve">Kontrolle (immer vorhanden)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 xml:space="preserve">Outer Rev – Inner Fwd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 xml:space="preserve">436 bp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>Non-Taster-Allel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 xml:space="preserve">Outer Fwd – Inner Rev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 xml:space="preserve">281 bp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00000"/>
              </w:rPr>
              <w:t>Taster-Allel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Ableitung: </w:t>
      </w:r>
      <w:r>
        <w:t>640 + 436 = homozygot Non-Taster · 640 + 281 = homozygot Taster · 640 + 436 + 281 = heterozygot.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2026-07-11T18:07:04.020Z</dcterms:created>
  <dcterms:modified xsi:type="dcterms:W3CDTF">2026-07-11T18:07:04.020Z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