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6EFD"/>
          <w:sz w:val="44"/>
        </w:rPr>
        <w:t>AAPL Sales &amp; Operations Portal</w:t>
      </w:r>
    </w:p>
    <w:p>
      <w:pPr>
        <w:jc w:val="center"/>
      </w:pPr>
      <w:r>
        <w:rPr>
          <w:rFonts w:ascii="Calibri" w:hAnsi="Calibri"/>
          <w:i/>
          <w:color w:val="6C757D"/>
          <w:sz w:val="26"/>
        </w:rPr>
        <w:t>Technical Architecture &amp; System Design Blueprint (Modular Roadmap)</w:t>
      </w:r>
    </w:p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212529"/>
          <w:sz w:val="28"/>
        </w:rPr>
        <w:t>1. Executive Summary &amp; Core Objectives</w:t>
      </w:r>
    </w:p>
    <w:p>
      <w:r>
        <w:t>The AAPL Portal is transitioning from a single-file Streamlit application into a decoupled, modular enterprise platform. The new architecture integrates with daily restored Shoper SQL Databases, automates live Tally ERP 9 / Prime synchronizations, enforces role-based access control, tracks dispatch SLAs, and automates debtor collections.</w:t>
      </w:r>
    </w:p>
    <w:p>
      <w:pPr>
        <w:spacing w:before="280" w:after="80"/>
      </w:pPr>
      <w:r>
        <w:rPr>
          <w:rFonts w:ascii="Calibri" w:hAnsi="Calibri"/>
          <w:b/>
          <w:color w:val="212529"/>
          <w:sz w:val="28"/>
        </w:rPr>
        <w:t>2. Modular Directory Architecture</w:t>
      </w:r>
    </w:p>
    <w:p>
      <w:r>
        <w:rPr>
          <w:rFonts w:ascii="Consolas" w:hAnsi="Consolas"/>
          <w:sz w:val="19"/>
        </w:rPr>
        <w:t>aapl_portal/</w:t>
        <w:br/>
        <w:t>├── config/ (settings.py)</w:t>
        <w:br/>
        <w:t>├── database/ (connection.py, models.py)</w:t>
        <w:br/>
        <w:t>├── services/ (tally_service.py, shoper_service.py, delivery_service.py)</w:t>
        <w:br/>
        <w:t>├── schedulers/ (reminder_scheduler.py)</w:t>
        <w:br/>
        <w:t>├── ui/ (auth.py, components/, views/)</w:t>
        <w:br/>
        <w:t>├── app.py (Streamlit Router)</w:t>
        <w:br/>
        <w:t>└── sync_runner.py (ETL Runner)</w:t>
      </w:r>
    </w:p>
    <w:p>
      <w:pPr>
        <w:spacing w:before="280" w:after="80"/>
      </w:pPr>
      <w:r>
        <w:rPr>
          <w:rFonts w:ascii="Calibri" w:hAnsi="Calibri"/>
          <w:b/>
          <w:color w:val="212529"/>
          <w:sz w:val="28"/>
        </w:rPr>
        <w:t>3. Role-Based Access Control (RBAC)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D6EFD"/>
          </w:tcPr>
          <w:p>
            <w:r>
              <w:rPr>
                <w:b/>
                <w:color w:val="FFFFFF"/>
              </w:rPr>
              <w:t>Portal View</w:t>
            </w:r>
          </w:p>
        </w:tc>
        <w:tc>
          <w:tcPr>
            <w:tcW w:type="dxa" w:w="1987"/>
            <w:shd w:val="clear" w:color="auto" w:fill="0D6EFD"/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1987"/>
            <w:shd w:val="clear" w:color="auto" w:fill="0D6EFD"/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1987"/>
            <w:shd w:val="clear" w:color="auto" w:fill="0D6EFD"/>
          </w:tcPr>
          <w:p>
            <w:r>
              <w:rPr>
                <w:b/>
                <w:color w:val="FFFFFF"/>
              </w:rPr>
              <w:t>Salesman</w:t>
            </w:r>
          </w:p>
        </w:tc>
        <w:tc>
          <w:tcPr>
            <w:tcW w:type="dxa" w:w="1987"/>
            <w:shd w:val="clear" w:color="auto" w:fill="0D6EFD"/>
          </w:tcPr>
          <w:p>
            <w:r>
              <w:rPr>
                <w:b/>
                <w:color w:val="FFFFFF"/>
              </w:rPr>
              <w:t>Dispatch</w:t>
            </w:r>
          </w:p>
        </w:tc>
      </w:tr>
      <w:tr>
        <w:tc>
          <w:tcPr>
            <w:tcW w:type="dxa" w:w="1987"/>
          </w:tcPr>
          <w:p>
            <w:r>
              <w:t>Executive Dashboard</w:t>
            </w:r>
          </w:p>
        </w:tc>
        <w:tc>
          <w:tcPr>
            <w:tcW w:type="dxa" w:w="1987"/>
          </w:tcPr>
          <w:p>
            <w:r>
              <w:t>Full Access</w:t>
            </w:r>
          </w:p>
        </w:tc>
        <w:tc>
          <w:tcPr>
            <w:tcW w:type="dxa" w:w="1987"/>
          </w:tcPr>
          <w:p>
            <w:r>
              <w:t>Full Access</w:t>
            </w:r>
          </w:p>
        </w:tc>
        <w:tc>
          <w:tcPr>
            <w:tcW w:type="dxa" w:w="1987"/>
          </w:tcPr>
          <w:p>
            <w:r>
              <w:t>No Access</w:t>
            </w:r>
          </w:p>
        </w:tc>
        <w:tc>
          <w:tcPr>
            <w:tcW w:type="dxa" w:w="1987"/>
          </w:tcPr>
          <w:p>
            <w:r>
              <w:t>No Access</w:t>
            </w:r>
          </w:p>
        </w:tc>
      </w:tr>
      <w:tr>
        <w:tc>
          <w:tcPr>
            <w:tcW w:type="dxa" w:w="1987"/>
            <w:shd w:val="clear" w:color="auto" w:fill="F8F9FA"/>
          </w:tcPr>
          <w:p>
            <w:r>
              <w:t>Salesman 360° View</w:t>
            </w:r>
          </w:p>
        </w:tc>
        <w:tc>
          <w:tcPr>
            <w:tcW w:type="dxa" w:w="1987"/>
            <w:shd w:val="clear" w:color="auto" w:fill="F8F9FA"/>
          </w:tcPr>
          <w:p>
            <w:r>
              <w:t>All Outlets</w:t>
            </w:r>
          </w:p>
        </w:tc>
        <w:tc>
          <w:tcPr>
            <w:tcW w:type="dxa" w:w="1987"/>
            <w:shd w:val="clear" w:color="auto" w:fill="F8F9FA"/>
          </w:tcPr>
          <w:p>
            <w:r>
              <w:t>All Outlets</w:t>
            </w:r>
          </w:p>
        </w:tc>
        <w:tc>
          <w:tcPr>
            <w:tcW w:type="dxa" w:w="1987"/>
            <w:shd w:val="clear" w:color="auto" w:fill="F8F9FA"/>
          </w:tcPr>
          <w:p>
            <w:r>
              <w:t>Assigned</w:t>
            </w:r>
          </w:p>
        </w:tc>
        <w:tc>
          <w:tcPr>
            <w:tcW w:type="dxa" w:w="1987"/>
            <w:shd w:val="clear" w:color="auto" w:fill="F8F9FA"/>
          </w:tcPr>
          <w:p>
            <w:r>
              <w:t>No Access</w:t>
            </w:r>
          </w:p>
        </w:tc>
      </w:tr>
      <w:tr>
        <w:tc>
          <w:tcPr>
            <w:tcW w:type="dxa" w:w="1987"/>
          </w:tcPr>
          <w:p>
            <w:r>
              <w:t>Delivery Dashboard</w:t>
            </w:r>
          </w:p>
        </w:tc>
        <w:tc>
          <w:tcPr>
            <w:tcW w:type="dxa" w:w="1987"/>
          </w:tcPr>
          <w:p>
            <w:r>
              <w:t>View / Edit</w:t>
            </w:r>
          </w:p>
        </w:tc>
        <w:tc>
          <w:tcPr>
            <w:tcW w:type="dxa" w:w="1987"/>
          </w:tcPr>
          <w:p>
            <w:r>
              <w:t>View / Edit</w:t>
            </w:r>
          </w:p>
        </w:tc>
        <w:tc>
          <w:tcPr>
            <w:tcW w:type="dxa" w:w="1987"/>
          </w:tcPr>
          <w:p>
            <w:r>
              <w:t>View Only</w:t>
            </w:r>
          </w:p>
        </w:tc>
        <w:tc>
          <w:tcPr>
            <w:tcW w:type="dxa" w:w="1987"/>
          </w:tcPr>
          <w:p>
            <w:r>
              <w:t>View / Edit</w:t>
            </w:r>
          </w:p>
        </w:tc>
      </w:tr>
      <w:tr>
        <w:tc>
          <w:tcPr>
            <w:tcW w:type="dxa" w:w="1987"/>
            <w:shd w:val="clear" w:color="auto" w:fill="F8F9FA"/>
          </w:tcPr>
          <w:p>
            <w:r>
              <w:t>Outstanding Debtors</w:t>
            </w:r>
          </w:p>
        </w:tc>
        <w:tc>
          <w:tcPr>
            <w:tcW w:type="dxa" w:w="1987"/>
            <w:shd w:val="clear" w:color="auto" w:fill="F8F9FA"/>
          </w:tcPr>
          <w:p>
            <w:r>
              <w:t>Full Access</w:t>
            </w:r>
          </w:p>
        </w:tc>
        <w:tc>
          <w:tcPr>
            <w:tcW w:type="dxa" w:w="1987"/>
            <w:shd w:val="clear" w:color="auto" w:fill="F8F9FA"/>
          </w:tcPr>
          <w:p>
            <w:r>
              <w:t>Full Access</w:t>
            </w:r>
          </w:p>
        </w:tc>
        <w:tc>
          <w:tcPr>
            <w:tcW w:type="dxa" w:w="1987"/>
            <w:shd w:val="clear" w:color="auto" w:fill="F8F9FA"/>
          </w:tcPr>
          <w:p>
            <w:r>
              <w:t>Assigned</w:t>
            </w:r>
          </w:p>
        </w:tc>
        <w:tc>
          <w:tcPr>
            <w:tcW w:type="dxa" w:w="1987"/>
            <w:shd w:val="clear" w:color="auto" w:fill="F8F9FA"/>
          </w:tcPr>
          <w:p>
            <w:r>
              <w:t>No Access</w:t>
            </w:r>
          </w:p>
        </w:tc>
      </w:tr>
      <w:tr>
        <w:tc>
          <w:tcPr>
            <w:tcW w:type="dxa" w:w="1987"/>
          </w:tcPr>
          <w:p>
            <w:r>
              <w:t>Stock Details</w:t>
            </w:r>
          </w:p>
        </w:tc>
        <w:tc>
          <w:tcPr>
            <w:tcW w:type="dxa" w:w="1987"/>
          </w:tcPr>
          <w:p>
            <w:r>
              <w:t>View / Export</w:t>
            </w:r>
          </w:p>
        </w:tc>
        <w:tc>
          <w:tcPr>
            <w:tcW w:type="dxa" w:w="1987"/>
          </w:tcPr>
          <w:p>
            <w:r>
              <w:t>View / Export</w:t>
            </w:r>
          </w:p>
        </w:tc>
        <w:tc>
          <w:tcPr>
            <w:tcW w:type="dxa" w:w="1987"/>
          </w:tcPr>
          <w:p>
            <w:r>
              <w:t>View / Export</w:t>
            </w:r>
          </w:p>
        </w:tc>
        <w:tc>
          <w:tcPr>
            <w:tcW w:type="dxa" w:w="1987"/>
          </w:tcPr>
          <w:p>
            <w:r>
              <w:t>View / Export</w:t>
            </w:r>
          </w:p>
        </w:tc>
      </w:tr>
      <w:tr>
        <w:tc>
          <w:tcPr>
            <w:tcW w:type="dxa" w:w="1987"/>
            <w:shd w:val="clear" w:color="auto" w:fill="F8F9FA"/>
          </w:tcPr>
          <w:p>
            <w:r>
              <w:t>Investment Master</w:t>
            </w:r>
          </w:p>
        </w:tc>
        <w:tc>
          <w:tcPr>
            <w:tcW w:type="dxa" w:w="1987"/>
            <w:shd w:val="clear" w:color="auto" w:fill="F8F9FA"/>
          </w:tcPr>
          <w:p>
            <w:r>
              <w:t>Full Access</w:t>
            </w:r>
          </w:p>
        </w:tc>
        <w:tc>
          <w:tcPr>
            <w:tcW w:type="dxa" w:w="1987"/>
            <w:shd w:val="clear" w:color="auto" w:fill="F8F9FA"/>
          </w:tcPr>
          <w:p>
            <w:r>
              <w:t>No Access</w:t>
            </w:r>
          </w:p>
        </w:tc>
        <w:tc>
          <w:tcPr>
            <w:tcW w:type="dxa" w:w="1987"/>
            <w:shd w:val="clear" w:color="auto" w:fill="F8F9FA"/>
          </w:tcPr>
          <w:p>
            <w:r>
              <w:t>No Access</w:t>
            </w:r>
          </w:p>
        </w:tc>
        <w:tc>
          <w:tcPr>
            <w:tcW w:type="dxa" w:w="1987"/>
            <w:shd w:val="clear" w:color="auto" w:fill="F8F9FA"/>
          </w:tcPr>
          <w:p>
            <w:r>
              <w:t>No Access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12529"/>
          <w:sz w:val="28"/>
        </w:rPr>
        <w:t>4. Delivery SLA Aging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495057"/>
          </w:tcPr>
          <w:p>
            <w:r>
              <w:rPr>
                <w:b/>
                <w:color w:val="FFFFFF"/>
              </w:rPr>
              <w:t>Aging Threshold</w:t>
            </w:r>
          </w:p>
        </w:tc>
        <w:tc>
          <w:tcPr>
            <w:tcW w:type="dxa" w:w="3312"/>
            <w:shd w:val="clear" w:color="auto" w:fill="495057"/>
          </w:tcPr>
          <w:p>
            <w:r>
              <w:rPr>
                <w:b/>
                <w:color w:val="FFFFFF"/>
              </w:rPr>
              <w:t>Indicator</w:t>
            </w:r>
          </w:p>
        </w:tc>
        <w:tc>
          <w:tcPr>
            <w:tcW w:type="dxa" w:w="3312"/>
            <w:shd w:val="clear" w:color="auto" w:fill="495057"/>
          </w:tcPr>
          <w:p>
            <w:r>
              <w:rPr>
                <w:b/>
                <w:color w:val="FFFFFF"/>
              </w:rPr>
              <w:t>Operational Meaning</w:t>
            </w:r>
          </w:p>
        </w:tc>
      </w:tr>
      <w:tr>
        <w:tc>
          <w:tcPr>
            <w:tcW w:type="dxa" w:w="3312"/>
          </w:tcPr>
          <w:p>
            <w:r>
              <w:t>0 Days (Same Day)</w:t>
            </w:r>
          </w:p>
        </w:tc>
        <w:tc>
          <w:tcPr>
            <w:tcW w:type="dxa" w:w="3312"/>
          </w:tcPr>
          <w:p>
            <w:r>
              <w:t>Neutral Gray</w:t>
            </w:r>
          </w:p>
        </w:tc>
        <w:tc>
          <w:tcPr>
            <w:tcW w:type="dxa" w:w="3312"/>
          </w:tcPr>
          <w:p>
            <w:r>
              <w:t>On schedule (Standard operational turnaround)</w:t>
            </w:r>
          </w:p>
        </w:tc>
      </w:tr>
      <w:tr>
        <w:tc>
          <w:tcPr>
            <w:tcW w:type="dxa" w:w="3312"/>
          </w:tcPr>
          <w:p>
            <w:r>
              <w:t>1 - 2 Days</w:t>
            </w:r>
          </w:p>
        </w:tc>
        <w:tc>
          <w:tcPr>
            <w:tcW w:type="dxa" w:w="3312"/>
          </w:tcPr>
          <w:p>
            <w:r>
              <w:t>Warning Yellow</w:t>
            </w:r>
          </w:p>
        </w:tc>
        <w:tc>
          <w:tcPr>
            <w:tcW w:type="dxa" w:w="3312"/>
          </w:tcPr>
          <w:p>
            <w:r>
              <w:t>Approaching dispatch SLA limit</w:t>
            </w:r>
          </w:p>
        </w:tc>
      </w:tr>
      <w:tr>
        <w:tc>
          <w:tcPr>
            <w:tcW w:type="dxa" w:w="3312"/>
          </w:tcPr>
          <w:p>
            <w:r>
              <w:t>&gt; 2 Days</w:t>
            </w:r>
          </w:p>
        </w:tc>
        <w:tc>
          <w:tcPr>
            <w:tcW w:type="dxa" w:w="3312"/>
          </w:tcPr>
          <w:p>
            <w:r>
              <w:t>Alert Red</w:t>
            </w:r>
          </w:p>
        </w:tc>
        <w:tc>
          <w:tcPr>
            <w:tcW w:type="dxa" w:w="3312"/>
          </w:tcPr>
          <w:p>
            <w:r>
              <w:t>Critical dispatch bottleneck requiring escalation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