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The basic approach of this migration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lastRenderedPageBreak/>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Pr="00CB3BE9" w:rsidRDefault="000D53EF" w:rsidP="00740030">
      <w:pPr>
        <w:pStyle w:val="NoSpacing"/>
        <w:numPr>
          <w:ilvl w:val="0"/>
          <w:numId w:val="6"/>
        </w:numPr>
      </w:pPr>
      <w:r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 still have a namespace code but there is no referential integrity to makes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w:t>
      </w:r>
      <w:r w:rsidR="008049B5">
        <w:t>Matching</w:t>
      </w:r>
      <w:r>
        <w:t xml:space="preserve"> service from KC.  This service is then </w:t>
      </w:r>
      <w:r>
        <w:lastRenderedPageBreak/>
        <w:t xml:space="preserve">accessed remotely.  A single flow like this may not be harmful; however, if multiple calls into KIM are necessary this may become problematic.  Furthermore, the client (KC) will not know whether a </w:t>
      </w:r>
      <w:r w:rsidR="008049B5">
        <w:t>Matching</w:t>
      </w:r>
      <w:r>
        <w:t xml:space="preserve"> service will be invoked at the point and time where KIM is called.</w:t>
      </w:r>
      <w:r w:rsidR="00A5790D">
        <w:t xml:space="preserve">  Furthermore,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740030" w:rsidRPr="00AF748C"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Unfortunately there is no synchronization.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p>
    <w:p w:rsidR="00BB62B7" w:rsidRPr="005C0FDF" w:rsidRDefault="00BB62B7" w:rsidP="00740030">
      <w:pPr>
        <w:pStyle w:val="ListParagraph"/>
        <w:numPr>
          <w:ilvl w:val="0"/>
          <w:numId w:val="9"/>
        </w:numPr>
      </w:pPr>
      <w:r>
        <w:rPr>
          <w:rFonts w:cs="Courier New"/>
          <w:color w:val="000000"/>
          <w:sz w:val="24"/>
          <w:szCs w:val="24"/>
        </w:rPr>
        <w:t xml:space="preserve">What is Rice’s strategy for adding new rows to rice tables?  For example:  Imagine release 1.0 of rice contains </w:t>
      </w:r>
      <w:r w:rsidR="00270ED2">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p>
    <w:p w:rsidR="005C0FDF" w:rsidRPr="008049B5" w:rsidRDefault="005C0FDF" w:rsidP="00740030">
      <w:pPr>
        <w:pStyle w:val="ListParagraph"/>
        <w:numPr>
          <w:ilvl w:val="0"/>
          <w:numId w:val="9"/>
        </w:numPr>
      </w:pPr>
      <w:r>
        <w:rPr>
          <w:rFonts w:cs="Courier New"/>
          <w:color w:val="000000"/>
          <w:sz w:val="24"/>
          <w:szCs w:val="24"/>
        </w:rPr>
        <w:t xml:space="preserve">Old KIM had the concept of “attributes” and “qualified attributes”.  An attribute is a piece of meta-data related to the item it is associated with.  For example:  </w:t>
      </w:r>
      <w:r w:rsidR="005647AB">
        <w:rPr>
          <w:rFonts w:cs="Courier New"/>
          <w:color w:val="000000"/>
          <w:sz w:val="24"/>
          <w:szCs w:val="24"/>
        </w:rPr>
        <w:t xml:space="preserve">the attribute “descend” is a piece of meta-data about a role.  </w:t>
      </w:r>
      <w:r w:rsidR="001E4834">
        <w:rPr>
          <w:rFonts w:cs="Courier New"/>
          <w:color w:val="000000"/>
          <w:sz w:val="24"/>
          <w:szCs w:val="24"/>
        </w:rPr>
        <w:t>Descend is used to indicate</w:t>
      </w:r>
      <w:r w:rsidR="005647AB">
        <w:rPr>
          <w:rFonts w:cs="Courier New"/>
          <w:color w:val="000000"/>
          <w:sz w:val="24"/>
          <w:szCs w:val="24"/>
        </w:rPr>
        <w:t xml:space="preserve"> </w:t>
      </w:r>
      <w:r w:rsidR="001E4834">
        <w:rPr>
          <w:rFonts w:cs="Courier New"/>
          <w:color w:val="000000"/>
          <w:sz w:val="24"/>
          <w:szCs w:val="24"/>
        </w:rPr>
        <w:t>whether</w:t>
      </w:r>
      <w:r w:rsidR="005647AB">
        <w:rPr>
          <w:rFonts w:cs="Courier New"/>
          <w:color w:val="000000"/>
          <w:sz w:val="24"/>
          <w:szCs w:val="24"/>
        </w:rPr>
        <w:t xml:space="preserve"> members of this role </w:t>
      </w:r>
      <w:r w:rsidR="001E4834">
        <w:rPr>
          <w:rFonts w:cs="Courier New"/>
          <w:color w:val="000000"/>
          <w:sz w:val="24"/>
          <w:szCs w:val="24"/>
        </w:rPr>
        <w:t>have the option of access to</w:t>
      </w:r>
      <w:r w:rsidR="005647AB">
        <w:rPr>
          <w:rFonts w:cs="Courier New"/>
          <w:color w:val="000000"/>
          <w:sz w:val="24"/>
          <w:szCs w:val="24"/>
        </w:rPr>
        <w:t xml:space="preserve"> subunit</w:t>
      </w:r>
      <w:r w:rsidR="001E4834">
        <w:rPr>
          <w:rFonts w:cs="Courier New"/>
          <w:color w:val="000000"/>
          <w:sz w:val="24"/>
          <w:szCs w:val="24"/>
        </w:rPr>
        <w:t>s</w:t>
      </w:r>
      <w:r w:rsidR="005647AB">
        <w:rPr>
          <w:rFonts w:cs="Courier New"/>
          <w:color w:val="000000"/>
          <w:sz w:val="24"/>
          <w:szCs w:val="24"/>
        </w:rPr>
        <w:t xml:space="preserve">.  This metadata does not affect whether a person is a part of a role or not.  Qualified attributes on the other hand affect authorization by determining whether or not a person has certain qualifications.  For example: a qualified attribute of </w:t>
      </w:r>
      <w:proofErr w:type="spellStart"/>
      <w:r w:rsidR="005647AB">
        <w:rPr>
          <w:rFonts w:cs="Courier New"/>
          <w:color w:val="000000"/>
          <w:sz w:val="24"/>
          <w:szCs w:val="24"/>
        </w:rPr>
        <w:t>kra.award</w:t>
      </w:r>
      <w:proofErr w:type="spellEnd"/>
      <w:r w:rsidR="005647AB">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Pr>
          <w:rFonts w:cs="Courier New"/>
          <w:color w:val="000000"/>
          <w:sz w:val="24"/>
          <w:szCs w:val="24"/>
        </w:rPr>
        <w:t>Matching</w:t>
      </w:r>
      <w:r w:rsidR="005647AB">
        <w:rPr>
          <w:rFonts w:cs="Courier New"/>
          <w:color w:val="000000"/>
          <w:sz w:val="24"/>
          <w:szCs w:val="24"/>
        </w:rPr>
        <w:t xml:space="preserve"> services for matching but this is not really the correct purpose for these attributes.</w:t>
      </w:r>
    </w:p>
    <w:p w:rsidR="008049B5" w:rsidRPr="00740030" w:rsidRDefault="008049B5" w:rsidP="00740030">
      <w:pPr>
        <w:pStyle w:val="ListParagraph"/>
        <w:numPr>
          <w:ilvl w:val="0"/>
          <w:numId w:val="9"/>
        </w:numPr>
      </w:pPr>
      <w:r>
        <w:rPr>
          <w:rFonts w:cs="Courier New"/>
          <w:color w:val="000000"/>
          <w:sz w:val="24"/>
          <w:szCs w:val="24"/>
        </w:rPr>
        <w:t xml:space="preserve">We need a way to easily store data about role-member data.  For example: a role of “Creator” </w:t>
      </w:r>
      <w:r w:rsidR="003E2E40">
        <w:rPr>
          <w:rFonts w:cs="Courier New"/>
          <w:color w:val="000000"/>
          <w:sz w:val="24"/>
          <w:szCs w:val="24"/>
        </w:rPr>
        <w:t xml:space="preserve">and </w:t>
      </w:r>
      <w:r>
        <w:rPr>
          <w:rFonts w:cs="Courier New"/>
          <w:color w:val="000000"/>
          <w:sz w:val="24"/>
          <w:szCs w:val="24"/>
        </w:rPr>
        <w:t>member “</w:t>
      </w:r>
      <w:proofErr w:type="spellStart"/>
      <w:r>
        <w:rPr>
          <w:rFonts w:cs="Courier New"/>
          <w:color w:val="000000"/>
          <w:sz w:val="24"/>
          <w:szCs w:val="24"/>
        </w:rPr>
        <w:t>quickstart</w:t>
      </w:r>
      <w:proofErr w:type="spellEnd"/>
      <w:r>
        <w:rPr>
          <w:rFonts w:cs="Courier New"/>
          <w:color w:val="000000"/>
          <w:sz w:val="24"/>
          <w:szCs w:val="24"/>
        </w:rPr>
        <w:t>” may have a unit.acl of 100000.  This fits nicely into the member attribute data.  How can we store active or descend information about this specific piece of member attribute data</w:t>
      </w:r>
      <w:r w:rsidR="003E2E40">
        <w:rPr>
          <w:rFonts w:cs="Courier New"/>
          <w:color w:val="000000"/>
          <w:sz w:val="24"/>
          <w:szCs w:val="24"/>
        </w:rPr>
        <w:t>?</w:t>
      </w:r>
    </w:p>
    <w:p w:rsidR="00740030" w:rsidRDefault="00740030" w:rsidP="00740030">
      <w:pPr>
        <w:pStyle w:val="Heading1"/>
      </w:pPr>
      <w:r>
        <w:t>KIM Permission Checking Walkthrough</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740030" w:rsidRPr="00BE3F35" w:rsidRDefault="00740030"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740030" w:rsidRPr="00BE3F35" w:rsidRDefault="00740030" w:rsidP="0074003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740030" w:rsidRPr="00BE3F35" w:rsidRDefault="00740030" w:rsidP="0074003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00944D40" w:rsidRPr="00BE3F35">
        <w:rPr>
          <w:rFonts w:ascii="Courier New" w:hAnsi="Courier New" w:cs="Courier New"/>
          <w:b/>
          <w:color w:val="000000"/>
          <w:sz w:val="24"/>
          <w:szCs w:val="24"/>
        </w:rPr>
        <w:t>“</w:t>
      </w:r>
      <w:proofErr w:type="spellStart"/>
      <w:r w:rsidR="00944D40" w:rsidRPr="00BE3F35">
        <w:rPr>
          <w:rFonts w:ascii="Courier New" w:hAnsi="Courier New" w:cs="Courier New"/>
          <w:b/>
          <w:color w:val="000000"/>
          <w:sz w:val="24"/>
          <w:szCs w:val="24"/>
        </w:rPr>
        <w:t>foo</w:t>
      </w:r>
      <w:proofErr w:type="spellEnd"/>
      <w:r w:rsidR="00944D40" w:rsidRPr="00BE3F35">
        <w:rPr>
          <w:rFonts w:ascii="Courier New" w:hAnsi="Courier New" w:cs="Courier New"/>
          <w:b/>
          <w:color w:val="000000"/>
          <w:sz w:val="24"/>
          <w:szCs w:val="24"/>
        </w:rPr>
        <w:t>”</w:t>
      </w:r>
      <w:r w:rsidRPr="00BE3F35">
        <w:rPr>
          <w:rFonts w:ascii="Courier New" w:hAnsi="Courier New" w:cs="Courier New"/>
          <w:b/>
          <w:color w:val="000000"/>
          <w:sz w:val="24"/>
          <w:szCs w:val="24"/>
        </w:rPr>
        <w:t xml:space="preserve">, </w:t>
      </w:r>
      <w:r w:rsidR="00944D40" w:rsidRPr="00BE3F35">
        <w:rPr>
          <w:rFonts w:ascii="Courier New" w:hAnsi="Courier New" w:cs="Courier New"/>
          <w:b/>
          <w:i/>
          <w:iCs/>
          <w:color w:val="000000"/>
          <w:sz w:val="24"/>
          <w:szCs w:val="24"/>
        </w:rPr>
        <w:t>“bar”</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944D40" w:rsidRPr="00BE3F35" w:rsidRDefault="00944D40" w:rsidP="00944D4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944D40" w:rsidRPr="00BE3F35" w:rsidRDefault="00944D40" w:rsidP="00944D4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sidRPr="00BE3F35">
        <w:rPr>
          <w:rFonts w:ascii="Courier New" w:hAnsi="Courier New" w:cs="Courier New"/>
          <w:b/>
          <w:color w:val="000000"/>
          <w:sz w:val="24"/>
          <w:szCs w:val="24"/>
        </w:rPr>
        <w:t>great_band</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proofErr w:type="spellStart"/>
      <w:r w:rsidRPr="00BE3F35">
        <w:rPr>
          <w:rFonts w:ascii="Courier New" w:hAnsi="Courier New" w:cs="Courier New"/>
          <w:b/>
          <w:i/>
          <w:iCs/>
          <w:color w:val="000000"/>
          <w:sz w:val="24"/>
          <w:szCs w:val="24"/>
        </w:rPr>
        <w:t>gnr</w:t>
      </w:r>
      <w:proofErr w:type="spellEnd"/>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sz w:val="20"/>
          <w:szCs w:val="20"/>
        </w:rPr>
      </w:pPr>
    </w:p>
    <w:p w:rsidR="00740030"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D479F6"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sidR="00BE3F35">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sidR="00BE3F35">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sidR="00BE3F35">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944D40" w:rsidRPr="00BE3F35" w:rsidRDefault="00740030" w:rsidP="00740030">
      <w:pPr>
        <w:pStyle w:val="NoSpacing"/>
        <w:rPr>
          <w:rFonts w:ascii="Courier New" w:hAnsi="Courier New" w:cs="Courier New"/>
          <w:b/>
          <w:sz w:val="24"/>
          <w:szCs w:val="24"/>
        </w:rPr>
      </w:pPr>
      <w:proofErr w:type="gramStart"/>
      <w:r w:rsidRPr="00BE3F35">
        <w:rPr>
          <w:rFonts w:ascii="Courier New" w:hAnsi="Courier New" w:cs="Courier New"/>
          <w:b/>
          <w:sz w:val="24"/>
          <w:szCs w:val="24"/>
        </w:rPr>
        <w:t>KIMServiceLocator.getIdentityManagementService()</w:t>
      </w:r>
      <w:proofErr w:type="gramEnd"/>
    </w:p>
    <w:p w:rsidR="007356BB" w:rsidRDefault="00740030" w:rsidP="00D479F6">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qualifyingAttributes</w:t>
      </w:r>
      <w:proofErr w:type="spellEnd"/>
      <w:r w:rsidR="00944D40" w:rsidRPr="00BE3F35">
        <w:rPr>
          <w:rFonts w:ascii="Courier New" w:hAnsi="Courier New" w:cs="Courier New"/>
          <w:b/>
          <w:sz w:val="24"/>
          <w:szCs w:val="24"/>
        </w:rPr>
        <w:t>);</w:t>
      </w:r>
    </w:p>
    <w:p w:rsidR="000C381B" w:rsidRDefault="000C381B" w:rsidP="000C381B">
      <w:pPr>
        <w:pStyle w:val="NoSpacing"/>
        <w:rPr>
          <w:rFonts w:ascii="Courier New" w:hAnsi="Courier New" w:cs="Courier New"/>
          <w:b/>
          <w:sz w:val="24"/>
          <w:szCs w:val="24"/>
        </w:rPr>
      </w:pPr>
    </w:p>
    <w:p w:rsidR="000C381B" w:rsidRDefault="000C381B" w:rsidP="000C381B">
      <w:pPr>
        <w:pStyle w:val="NoSpacing"/>
        <w:rPr>
          <w:rFonts w:cs="Courier New"/>
          <w:b/>
        </w:rPr>
      </w:pP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 database and the KC codebase was analyzed.</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lastRenderedPageBreak/>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or 2) Create a generic KIM type, and template to categorize permission and then a new permission</w:t>
      </w:r>
      <w:r w:rsidR="005D36A0">
        <w:t xml:space="preserve"> for each existing permission.   The more natural solution is option number 2.</w:t>
      </w:r>
    </w:p>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 xml:space="preserve">PRNCPL_NM </w:t>
            </w:r>
            <w:r w:rsidR="00B07040">
              <w:lastRenderedPageBreak/>
              <w:t>(VARCHAR(100))</w:t>
            </w:r>
          </w:p>
        </w:tc>
        <w:tc>
          <w:tcPr>
            <w:tcW w:w="3192" w:type="dxa"/>
          </w:tcPr>
          <w:p w:rsidR="00B07040" w:rsidRDefault="00B07040" w:rsidP="00227C3F"/>
        </w:tc>
      </w:tr>
      <w:tr w:rsidR="00B07040" w:rsidTr="00922C48">
        <w:tc>
          <w:tcPr>
            <w:tcW w:w="3192" w:type="dxa"/>
          </w:tcPr>
          <w:p w:rsidR="00B07040" w:rsidRDefault="00B07040" w:rsidP="00227C3F">
            <w:r>
              <w:lastRenderedPageBreak/>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Must have entry in KRIM_ROLE_MBR_T associating the role and principal for this to work.</w:t>
            </w:r>
          </w:p>
        </w:tc>
      </w:tr>
      <w:tr w:rsidR="00140E34" w:rsidTr="00140E34">
        <w:tc>
          <w:tcPr>
            <w:tcW w:w="2840" w:type="dxa"/>
          </w:tcPr>
          <w:p w:rsidR="00922C48" w:rsidRDefault="00602550" w:rsidP="00227C3F">
            <w:r>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3150"/>
        <w:gridCol w:w="3888"/>
      </w:tblGrid>
      <w:tr w:rsidR="0080754A" w:rsidTr="00270ED2">
        <w:tc>
          <w:tcPr>
            <w:tcW w:w="2538" w:type="dxa"/>
          </w:tcPr>
          <w:p w:rsidR="0080754A" w:rsidRDefault="0080754A" w:rsidP="0080754A">
            <w:r>
              <w:t>KIM_ROLES_T</w:t>
            </w:r>
          </w:p>
        </w:tc>
        <w:tc>
          <w:tcPr>
            <w:tcW w:w="3150" w:type="dxa"/>
          </w:tcPr>
          <w:p w:rsidR="0080754A" w:rsidRDefault="0080754A" w:rsidP="00227C3F">
            <w:r>
              <w:t>KIM table(s)</w:t>
            </w:r>
          </w:p>
        </w:tc>
        <w:tc>
          <w:tcPr>
            <w:tcW w:w="3888" w:type="dxa"/>
          </w:tcPr>
          <w:p w:rsidR="0080754A" w:rsidRDefault="0080754A" w:rsidP="00227C3F">
            <w:r>
              <w:t>Notes</w:t>
            </w:r>
          </w:p>
        </w:tc>
      </w:tr>
      <w:tr w:rsidR="0080754A" w:rsidTr="00270ED2">
        <w:tc>
          <w:tcPr>
            <w:tcW w:w="2538" w:type="dxa"/>
          </w:tcPr>
          <w:p w:rsidR="0080754A" w:rsidRDefault="00270ED2" w:rsidP="00227C3F">
            <w:r>
              <w:t>ID</w:t>
            </w:r>
          </w:p>
        </w:tc>
        <w:tc>
          <w:tcPr>
            <w:tcW w:w="3150" w:type="dxa"/>
          </w:tcPr>
          <w:p w:rsidR="0080754A" w:rsidRDefault="00270ED2" w:rsidP="00227C3F">
            <w:r>
              <w:t>KRIM_ROLE</w:t>
            </w:r>
            <w:r w:rsidR="0080754A">
              <w:t>_T.ROLE_ID</w:t>
            </w:r>
          </w:p>
        </w:tc>
        <w:tc>
          <w:tcPr>
            <w:tcW w:w="3888" w:type="dxa"/>
          </w:tcPr>
          <w:p w:rsidR="0080754A" w:rsidRDefault="00270ED2" w:rsidP="00227C3F">
            <w:r>
              <w:t>May have primary key conflicts with rice</w:t>
            </w:r>
          </w:p>
        </w:tc>
      </w:tr>
      <w:tr w:rsidR="0080754A" w:rsidTr="00270ED2">
        <w:tc>
          <w:tcPr>
            <w:tcW w:w="2538" w:type="dxa"/>
          </w:tcPr>
          <w:p w:rsidR="0080754A" w:rsidRDefault="00270ED2" w:rsidP="00270ED2">
            <w:r>
              <w:t>NAME (VARCHAR(500))</w:t>
            </w:r>
          </w:p>
        </w:tc>
        <w:tc>
          <w:tcPr>
            <w:tcW w:w="3150" w:type="dxa"/>
          </w:tcPr>
          <w:p w:rsidR="0080754A" w:rsidRDefault="0080754A" w:rsidP="00270ED2">
            <w:r>
              <w:t>KRIM_ROLE_</w:t>
            </w:r>
            <w:r w:rsidR="00270ED2">
              <w:t xml:space="preserve"> </w:t>
            </w:r>
            <w:r>
              <w:t>T.PERM_</w:t>
            </w:r>
            <w:r w:rsidR="00270ED2">
              <w:t>NM (VARCHAR(80))</w:t>
            </w:r>
          </w:p>
        </w:tc>
        <w:tc>
          <w:tcPr>
            <w:tcW w:w="3888" w:type="dxa"/>
          </w:tcPr>
          <w:p w:rsidR="0080754A" w:rsidRDefault="0080754A" w:rsidP="00227C3F"/>
        </w:tc>
      </w:tr>
      <w:tr w:rsidR="0080754A" w:rsidTr="00270ED2">
        <w:tc>
          <w:tcPr>
            <w:tcW w:w="2538" w:type="dxa"/>
          </w:tcPr>
          <w:p w:rsidR="0080754A" w:rsidRDefault="00270ED2" w:rsidP="00270ED2">
            <w:r>
              <w:t>DESCRIPTION</w:t>
            </w:r>
          </w:p>
        </w:tc>
        <w:tc>
          <w:tcPr>
            <w:tcW w:w="3150" w:type="dxa"/>
          </w:tcPr>
          <w:p w:rsidR="0080754A" w:rsidRDefault="0080754A" w:rsidP="00270ED2">
            <w:r>
              <w:t>KRIM_ROLE</w:t>
            </w:r>
            <w:r w:rsidR="00270ED2">
              <w:t xml:space="preserve"> </w:t>
            </w:r>
            <w:r>
              <w:t>_T.</w:t>
            </w:r>
            <w:r w:rsidR="00270ED2">
              <w:t xml:space="preserve">DESC_TXT </w:t>
            </w:r>
          </w:p>
        </w:tc>
        <w:tc>
          <w:tcPr>
            <w:tcW w:w="3888" w:type="dxa"/>
          </w:tcPr>
          <w:p w:rsidR="0080754A" w:rsidRDefault="0080754A" w:rsidP="00227C3F"/>
        </w:tc>
      </w:tr>
      <w:tr w:rsidR="00C11382" w:rsidTr="00270ED2">
        <w:tc>
          <w:tcPr>
            <w:tcW w:w="2538" w:type="dxa"/>
          </w:tcPr>
          <w:p w:rsidR="00C11382" w:rsidRDefault="00C11382" w:rsidP="00270ED2">
            <w:r>
              <w:t>ROLE_TYPE</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r>
              <w:t>DESCEND</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tc>
        <w:tc>
          <w:tcPr>
            <w:tcW w:w="3150" w:type="dxa"/>
          </w:tcPr>
          <w:p w:rsidR="00C11382" w:rsidRDefault="00C11382" w:rsidP="00270ED2">
            <w:r>
              <w:t>NMSPC_CD</w:t>
            </w:r>
          </w:p>
        </w:tc>
        <w:tc>
          <w:tcPr>
            <w:tcW w:w="3888" w:type="dxa"/>
          </w:tcPr>
          <w:p w:rsidR="00C11382" w:rsidRDefault="00C11382" w:rsidP="00227C3F">
            <w:r>
              <w:t>Set to namespace that this applies to.  Consider using a module namespace.</w:t>
            </w:r>
          </w:p>
        </w:tc>
      </w:tr>
    </w:tbl>
    <w:p w:rsidR="0080754A" w:rsidRDefault="0080754A" w:rsidP="00922C48"/>
    <w:p w:rsidR="00C11382" w:rsidRDefault="007E7AF6" w:rsidP="007E7AF6">
      <w:pPr>
        <w:pStyle w:val="Heading1"/>
      </w:pPr>
      <w:r>
        <w:lastRenderedPageBreak/>
        <w:t>Field Conversion – KIM_ROLES_TYPE_T</w:t>
      </w:r>
    </w:p>
    <w:p w:rsidR="007E7AF6" w:rsidRDefault="007E7AF6" w:rsidP="007E7AF6">
      <w:r>
        <w:t>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supporting this requirement out of the box.</w:t>
      </w:r>
    </w:p>
    <w:p w:rsidR="007E7AF6" w:rsidRDefault="007E7AF6" w:rsidP="007E7AF6">
      <w:pPr>
        <w:pStyle w:val="Heading1"/>
      </w:pPr>
      <w:r>
        <w:t>Field Conversion – UNIT_ACL</w:t>
      </w:r>
    </w:p>
    <w:p w:rsidR="007E7AF6" w:rsidRPr="007E7AF6" w:rsidRDefault="007E7AF6" w:rsidP="007E7AF6">
      <w:r>
        <w:t xml:space="preserve">The </w:t>
      </w:r>
      <w:r w:rsidR="008049B5">
        <w:t>unit can be stored as role-member attribute data easily.  The descend</w:t>
      </w:r>
      <w:r w:rsidR="003E2E40">
        <w:t xml:space="preserve"> and active</w:t>
      </w:r>
      <w:r w:rsidR="008049B5">
        <w:t xml:space="preserve"> flag</w:t>
      </w:r>
      <w:r w:rsidR="003E2E40">
        <w:t>s</w:t>
      </w:r>
      <w:r w:rsidR="008049B5">
        <w:t xml:space="preserve"> </w:t>
      </w:r>
      <w:r w:rsidR="003E2E40">
        <w:t>are</w:t>
      </w:r>
      <w:r w:rsidR="008049B5">
        <w:t xml:space="preserve"> problematic in that there is now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w:t>
            </w:r>
            <w:r>
              <w:t xml:space="preserve">_T.ACTV_FROM, </w:t>
            </w:r>
            <w:r>
              <w:t>KRIM_ROLE_MBR</w:t>
            </w:r>
            <w:r>
              <w:t>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Pr="007E7AF6" w:rsidRDefault="007E7AF6" w:rsidP="007E7AF6"/>
    <w:sectPr w:rsidR="007E7AF6" w:rsidRPr="007E7AF6"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E60A3"/>
    <w:multiLevelType w:val="hybridMultilevel"/>
    <w:tmpl w:val="653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0"/>
  </w:num>
  <w:num w:numId="4">
    <w:abstractNumId w:val="7"/>
  </w:num>
  <w:num w:numId="5">
    <w:abstractNumId w:val="9"/>
  </w:num>
  <w:num w:numId="6">
    <w:abstractNumId w:val="8"/>
  </w:num>
  <w:num w:numId="7">
    <w:abstractNumId w:val="6"/>
  </w:num>
  <w:num w:numId="8">
    <w:abstractNumId w:val="2"/>
  </w:num>
  <w:num w:numId="9">
    <w:abstractNumId w:val="5"/>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34E66"/>
    <w:rsid w:val="000C381B"/>
    <w:rsid w:val="000D53EF"/>
    <w:rsid w:val="00126064"/>
    <w:rsid w:val="00140E34"/>
    <w:rsid w:val="00154958"/>
    <w:rsid w:val="00164102"/>
    <w:rsid w:val="001A2625"/>
    <w:rsid w:val="001C269B"/>
    <w:rsid w:val="001E4834"/>
    <w:rsid w:val="002039AB"/>
    <w:rsid w:val="00270ED2"/>
    <w:rsid w:val="00286DBF"/>
    <w:rsid w:val="002F0FFC"/>
    <w:rsid w:val="003479FC"/>
    <w:rsid w:val="003E2E40"/>
    <w:rsid w:val="0044398A"/>
    <w:rsid w:val="004E0E3C"/>
    <w:rsid w:val="004F6CB2"/>
    <w:rsid w:val="0050337B"/>
    <w:rsid w:val="00516663"/>
    <w:rsid w:val="005647AB"/>
    <w:rsid w:val="005C0FDF"/>
    <w:rsid w:val="005D36A0"/>
    <w:rsid w:val="00602550"/>
    <w:rsid w:val="00655E01"/>
    <w:rsid w:val="0065782D"/>
    <w:rsid w:val="006B6AF2"/>
    <w:rsid w:val="006C458D"/>
    <w:rsid w:val="006D2AAF"/>
    <w:rsid w:val="00712873"/>
    <w:rsid w:val="007356BB"/>
    <w:rsid w:val="00740030"/>
    <w:rsid w:val="00777C2E"/>
    <w:rsid w:val="007D392D"/>
    <w:rsid w:val="007E7AF6"/>
    <w:rsid w:val="008049B5"/>
    <w:rsid w:val="0080754A"/>
    <w:rsid w:val="00830424"/>
    <w:rsid w:val="008501C7"/>
    <w:rsid w:val="00883C7D"/>
    <w:rsid w:val="008B5400"/>
    <w:rsid w:val="00922C48"/>
    <w:rsid w:val="00925E1F"/>
    <w:rsid w:val="00944D40"/>
    <w:rsid w:val="009A15A4"/>
    <w:rsid w:val="00A44978"/>
    <w:rsid w:val="00A5790D"/>
    <w:rsid w:val="00AF748C"/>
    <w:rsid w:val="00B07040"/>
    <w:rsid w:val="00B511C6"/>
    <w:rsid w:val="00BB62B7"/>
    <w:rsid w:val="00BE3A77"/>
    <w:rsid w:val="00BE3F35"/>
    <w:rsid w:val="00BE5E39"/>
    <w:rsid w:val="00C11382"/>
    <w:rsid w:val="00C82479"/>
    <w:rsid w:val="00CB3BE9"/>
    <w:rsid w:val="00D16372"/>
    <w:rsid w:val="00D479F6"/>
    <w:rsid w:val="00DF330B"/>
    <w:rsid w:val="00EB19D8"/>
    <w:rsid w:val="00F344EE"/>
    <w:rsid w:val="00F36A9C"/>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7</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16</cp:revision>
  <dcterms:created xsi:type="dcterms:W3CDTF">2009-06-11T14:29:00Z</dcterms:created>
  <dcterms:modified xsi:type="dcterms:W3CDTF">2009-06-17T15:51:00Z</dcterms:modified>
</cp:coreProperties>
</file>