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SnapUp Banner 1 — Smart Scanning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  <w:sectPr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/>
        <w:drawing>
          <wp:inline distB="0" distT="0" distL="114300" distR="114300">
            <wp:extent cx="6858000" cy="93670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36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SnapUp Banner 2 — Supermarket Savings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  <w:sectPr>
          <w:type w:val="nextPage"/>
          <w:pgSz w:h="15840" w:w="12240" w:orient="portrait"/>
          <w:pgMar w:bottom="720" w:top="720" w:left="720" w:right="720" w:header="720" w:footer="720"/>
        </w:sectPr>
      </w:pPr>
      <w:r w:rsidDel="00000000" w:rsidR="00000000" w:rsidRPr="00000000">
        <w:rPr/>
        <w:drawing>
          <wp:inline distB="0" distT="0" distL="114300" distR="114300">
            <wp:extent cx="6858000" cy="951571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515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SnapUp Banner 3 — Simplified Shopping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858000" cy="89209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920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720" w:top="720" w:left="72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