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spacing w:after="60"/>
      </w:pPr>
      <w:r>
        <w:t xml:space="preserve">SnapUp — Outstanding Work Before Launch</w:t>
      </w:r>
    </w:p>
    <w:p>
      <w:pPr>
        <w:spacing w:before="0" w:after="240"/>
      </w:pPr>
      <w:r>
        <w:t xml:space="preserve">Status as of 3 August 2026  ·  branch </w:t>
      </w:r>
      <w:r>
        <w:rPr>
          <w:rFonts w:ascii="Consolas" w:hAnsi="Consolas"/>
          <w:sz w:val="18"/>
          <w:color w:val="B03060"/>
        </w:rPr>
        <w:t xml:space="preserve">feat/secure-presence-gateway</w:t>
      </w:r>
      <w:r>
        <w:t xml:space="preserve">  ·  all 88 automated validation cases passing</w:t>
      </w:r>
    </w:p>
    <w:p>
      <w:pPr>
        <w:spacing w:before="0" w:after="240"/>
      </w:pPr>
      <w:r>
        <w:t xml:space="preserve">This document lists what remains before SnapUp can run in a real supermarket. It separates work that is genuinely not built from work that is built but hardened only to proof-of-concept level, because the two carry very different risk. Items marked as blockers will cause incorrect behaviour or financial loss in a live store, not merely degraded quality.</w:t>
      </w:r>
    </w:p>
    <w:p>
      <w:pPr>
        <w:pStyle w:val="Heading1"/>
        <w:spacing w:before="360" w:after="120"/>
        <w:outlineLvl w:val="0"/>
      </w:pPr>
      <w:r>
        <w:t xml:space="preserve">1. Readiness at a glance</w:t>
      </w:r>
    </w:p>
    <w:tbl>
      <w:tblPr>
        <w:tblW w:w="5000" w:type="pct"/>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Pr>
      <w:tblGrid>
        <w:gridCol w:w="2400"/>
        <w:gridCol w:w="2400"/>
        <w:gridCol w:w="4560"/>
      </w:tblGrid>
      <w:tr>
        <w:trPr>
          <w:tblHeader/>
        </w:trPr>
        <w:tc>
          <w:tcPr>
            <w:tcW w:w="2400" w:type="dxa"/>
            <w:shd w:val="clear" w:color="auto" w:fill="E8EEF7"/>
            <w:vAlign w:val="center"/>
            <w:tcMar>
              <w:top w:w="60" w:type="dxa"/>
              <w:bottom w:w="60" w:type="dxa"/>
              <w:left w:w="90" w:type="dxa"/>
              <w:right w:w="90" w:type="dxa"/>
            </w:tcMar>
          </w:tcPr>
          <w:p>
            <w:pPr>
              <w:spacing w:before="20" w:after="20"/>
              <w:jc w:val="left"/>
            </w:pPr>
            <w:r>
              <w:rPr>
                <w:b/>
              </w:rPr>
              <w:t xml:space="preserve">Scenario</w:t>
            </w:r>
          </w:p>
        </w:tc>
        <w:tc>
          <w:tcPr>
            <w:tcW w:w="2400" w:type="dxa"/>
            <w:shd w:val="clear" w:color="auto" w:fill="E8EEF7"/>
            <w:vAlign w:val="center"/>
            <w:tcMar>
              <w:top w:w="60" w:type="dxa"/>
              <w:bottom w:w="60" w:type="dxa"/>
              <w:left w:w="90" w:type="dxa"/>
              <w:right w:w="90" w:type="dxa"/>
            </w:tcMar>
          </w:tcPr>
          <w:p>
            <w:pPr>
              <w:spacing w:before="20" w:after="20"/>
              <w:jc w:val="left"/>
            </w:pPr>
            <w:r>
              <w:rPr>
                <w:b/>
              </w:rPr>
              <w:t xml:space="preserve">Ready?</w:t>
            </w:r>
          </w:p>
        </w:tc>
        <w:tc>
          <w:tcPr>
            <w:tcW w:w="4560" w:type="dxa"/>
            <w:shd w:val="clear" w:color="auto" w:fill="E8EEF7"/>
            <w:vAlign w:val="center"/>
            <w:tcMar>
              <w:top w:w="60" w:type="dxa"/>
              <w:bottom w:w="60" w:type="dxa"/>
              <w:left w:w="90" w:type="dxa"/>
              <w:right w:w="90" w:type="dxa"/>
            </w:tcMar>
          </w:tcPr>
          <w:p>
            <w:pPr>
              <w:spacing w:before="20" w:after="20"/>
              <w:jc w:val="left"/>
            </w:pPr>
            <w:r>
              <w:rPr>
                <w:b/>
              </w:rPr>
              <w:t xml:space="preserve">What is missing</w:t>
            </w:r>
          </w:p>
        </w:tc>
      </w:tr>
      <w:tr>
        <w:tc>
          <w:tcPr>
            <w:tcW w:w="2400" w:type="dxa"/>
            <w:vAlign w:val="center"/>
            <w:tcMar>
              <w:top w:w="60" w:type="dxa"/>
              <w:bottom w:w="60" w:type="dxa"/>
              <w:left w:w="90" w:type="dxa"/>
              <w:right w:w="90" w:type="dxa"/>
            </w:tcMar>
          </w:tcPr>
          <w:p>
            <w:pPr>
              <w:spacing w:before="20" w:after="20"/>
              <w:jc w:val="left"/>
            </w:pPr>
            <w:r>
              <w:t xml:space="preserve">Demo to a technical evaluator</w:t>
            </w:r>
          </w:p>
        </w:tc>
        <w:tc>
          <w:tcPr>
            <w:tcW w:w="2400" w:type="dxa"/>
            <w:vAlign w:val="center"/>
            <w:tcMar>
              <w:top w:w="60" w:type="dxa"/>
              <w:bottom w:w="60" w:type="dxa"/>
              <w:left w:w="90" w:type="dxa"/>
              <w:right w:w="90" w:type="dxa"/>
            </w:tcMar>
          </w:tcPr>
          <w:p>
            <w:pPr>
              <w:spacing w:before="20" w:after="20"/>
              <w:jc w:val="left"/>
            </w:pPr>
            <w:r>
              <w:t xml:space="preserve">Yes — today</w:t>
            </w:r>
          </w:p>
        </w:tc>
        <w:tc>
          <w:tcPr>
            <w:tcW w:w="4560" w:type="dxa"/>
            <w:vAlign w:val="center"/>
            <w:tcMar>
              <w:top w:w="60" w:type="dxa"/>
              <w:bottom w:w="60" w:type="dxa"/>
              <w:left w:w="90" w:type="dxa"/>
              <w:right w:w="90" w:type="dxa"/>
            </w:tcMar>
          </w:tcPr>
          <w:p>
            <w:pPr>
              <w:spacing w:before="20" w:after="20"/>
              <w:jc w:val="left"/>
            </w:pPr>
            <w:r>
              <w:t xml:space="preserve">Nothing. The validation harness runs 88 cases against a production build over real HTTP, and is verified to fail when the protections are removed.</w:t>
            </w:r>
          </w:p>
        </w:tc>
      </w:tr>
      <w:tr>
        <w:tc>
          <w:tcPr>
            <w:tcW w:w="2400" w:type="dxa"/>
            <w:vAlign w:val="center"/>
            <w:tcMar>
              <w:top w:w="60" w:type="dxa"/>
              <w:bottom w:w="60" w:type="dxa"/>
              <w:left w:w="90" w:type="dxa"/>
              <w:right w:w="90" w:type="dxa"/>
            </w:tcMar>
          </w:tcPr>
          <w:p>
            <w:pPr>
              <w:spacing w:before="20" w:after="20"/>
              <w:jc w:val="left"/>
            </w:pPr>
            <w:r>
              <w:t xml:space="preserve">Supervised pilot, one store, no payment</w:t>
            </w:r>
          </w:p>
        </w:tc>
        <w:tc>
          <w:tcPr>
            <w:tcW w:w="2400" w:type="dxa"/>
            <w:vAlign w:val="center"/>
            <w:tcMar>
              <w:top w:w="60" w:type="dxa"/>
              <w:bottom w:w="60" w:type="dxa"/>
              <w:left w:w="90" w:type="dxa"/>
              <w:right w:w="90" w:type="dxa"/>
            </w:tcMar>
          </w:tcPr>
          <w:p>
            <w:pPr>
              <w:spacing w:before="20" w:after="20"/>
              <w:jc w:val="left"/>
            </w:pPr>
            <w:r>
              <w:t xml:space="preserve">Not yet</w:t>
            </w:r>
          </w:p>
        </w:tc>
        <w:tc>
          <w:tcPr>
            <w:tcW w:w="4560" w:type="dxa"/>
            <w:vAlign w:val="center"/>
            <w:tcMar>
              <w:top w:w="60" w:type="dxa"/>
              <w:bottom w:w="60" w:type="dxa"/>
              <w:left w:w="90" w:type="dxa"/>
              <w:right w:w="90" w:type="dxa"/>
            </w:tcMar>
          </w:tcPr>
          <w:p>
            <w:pPr>
              <w:spacing w:before="20" w:after="20"/>
              <w:jc w:val="left"/>
            </w:pPr>
            <w:r>
              <w:t xml:space="preserve">Two items: durable storage, and the store’s real gateway IP. Both are in section 3.</w:t>
            </w:r>
          </w:p>
        </w:tc>
      </w:tr>
      <w:tr>
        <w:tc>
          <w:tcPr>
            <w:tcW w:w="2400" w:type="dxa"/>
            <w:vAlign w:val="center"/>
            <w:tcMar>
              <w:top w:w="60" w:type="dxa"/>
              <w:bottom w:w="60" w:type="dxa"/>
              <w:left w:w="90" w:type="dxa"/>
              <w:right w:w="90" w:type="dxa"/>
            </w:tcMar>
          </w:tcPr>
          <w:p>
            <w:pPr>
              <w:spacing w:before="20" w:after="20"/>
              <w:jc w:val="left"/>
            </w:pPr>
            <w:r>
              <w:t xml:space="preserve">Live store, real customers, real money</w:t>
            </w:r>
          </w:p>
        </w:tc>
        <w:tc>
          <w:tcPr>
            <w:tcW w:w="2400" w:type="dxa"/>
            <w:vAlign w:val="center"/>
            <w:tcMar>
              <w:top w:w="60" w:type="dxa"/>
              <w:bottom w:w="60" w:type="dxa"/>
              <w:left w:w="90" w:type="dxa"/>
              <w:right w:w="90" w:type="dxa"/>
            </w:tcMar>
          </w:tcPr>
          <w:p>
            <w:pPr>
              <w:spacing w:before="20" w:after="20"/>
              <w:jc w:val="left"/>
            </w:pPr>
            <w:r>
              <w:t xml:space="preserve">No</w:t>
            </w:r>
          </w:p>
        </w:tc>
        <w:tc>
          <w:tcPr>
            <w:tcW w:w="4560" w:type="dxa"/>
            <w:vAlign w:val="center"/>
            <w:tcMar>
              <w:top w:w="60" w:type="dxa"/>
              <w:bottom w:w="60" w:type="dxa"/>
              <w:left w:w="90" w:type="dxa"/>
              <w:right w:w="90" w:type="dxa"/>
            </w:tcMar>
          </w:tcPr>
          <w:p>
            <w:pPr>
              <w:spacing w:before="20" w:after="20"/>
              <w:jc w:val="left"/>
            </w:pPr>
            <w:r>
              <w:t xml:space="preserve">Payment cannot be verified under the phase-1 settlement model, and no order or trading record survives a deploy. Section 4.</w:t>
            </w:r>
          </w:p>
        </w:tc>
      </w:tr>
    </w:tbl>
    <w:p>
      <w:pPr>
        <w:spacing w:after="0"/>
      </w:pPr>
    </w:p>
    <w:p>
      <w:pPr>
        <w:spacing w:before="0" w:after="120"/>
      </w:pPr>
      <w:r>
        <w:t xml:space="preserve">Since the previous revision of 29 July the order and payment path has been built: totals are now computed server-side from the store’s own catalogue, orders are recorded before payment rather than minted in the browser, the exit token is signed over the server’s own figures, and a store analytics read model was added. That closes four of the six items previously listed under live checkout and adds one new one — payment confirmation — which is now the largest open risk. The validation suite grew from 58 cases to 88 accordingly.</w:t>
      </w:r>
    </w:p>
    <w:p>
      <w:pPr>
        <w:pStyle w:val="Heading1"/>
        <w:spacing w:before="360" w:after="120"/>
        <w:outlineLvl w:val="0"/>
      </w:pPr>
      <w:r>
        <w:t xml:space="preserve">2. Start immediately — external dependencies</w:t>
      </w:r>
    </w:p>
    <w:p>
      <w:pPr>
        <w:spacing w:before="0" w:after="240"/>
      </w:pPr>
      <w:r>
        <w:t xml:space="preserve">These are not blocked on engineering effort. They depend on third parties and have lead times measured in weeks, so they should be started before the code work, not after it.</w:t>
      </w:r>
    </w:p>
    <w:tbl>
      <w:tblPr>
        <w:tblW w:w="5000" w:type="pct"/>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Pr>
      <w:tblGrid>
        <w:gridCol w:w="2400"/>
        <w:gridCol w:w="2000"/>
        <w:gridCol w:w="3060"/>
        <w:gridCol w:w="1900"/>
      </w:tblGrid>
      <w:tr>
        <w:trPr>
          <w:tblHeader/>
        </w:trPr>
        <w:tc>
          <w:tcPr>
            <w:tcW w:w="2400" w:type="dxa"/>
            <w:shd w:val="clear" w:color="auto" w:fill="E8EEF7"/>
            <w:vAlign w:val="center"/>
            <w:tcMar>
              <w:top w:w="60" w:type="dxa"/>
              <w:bottom w:w="60" w:type="dxa"/>
              <w:left w:w="90" w:type="dxa"/>
              <w:right w:w="90" w:type="dxa"/>
            </w:tcMar>
          </w:tcPr>
          <w:p>
            <w:pPr>
              <w:spacing w:before="20" w:after="20"/>
              <w:jc w:val="left"/>
            </w:pPr>
            <w:r>
              <w:rPr>
                <w:b/>
              </w:rPr>
              <w:t xml:space="preserve">Item</w:t>
            </w:r>
          </w:p>
        </w:tc>
        <w:tc>
          <w:tcPr>
            <w:tcW w:w="2000" w:type="dxa"/>
            <w:shd w:val="clear" w:color="auto" w:fill="E8EEF7"/>
            <w:vAlign w:val="center"/>
            <w:tcMar>
              <w:top w:w="60" w:type="dxa"/>
              <w:bottom w:w="60" w:type="dxa"/>
              <w:left w:w="90" w:type="dxa"/>
              <w:right w:w="90" w:type="dxa"/>
            </w:tcMar>
          </w:tcPr>
          <w:p>
            <w:pPr>
              <w:spacing w:before="20" w:after="20"/>
              <w:jc w:val="left"/>
            </w:pPr>
            <w:r>
              <w:rPr>
                <w:b/>
              </w:rPr>
              <w:t xml:space="preserve">Who provides it</w:t>
            </w:r>
          </w:p>
        </w:tc>
        <w:tc>
          <w:tcPr>
            <w:tcW w:w="3060" w:type="dxa"/>
            <w:shd w:val="clear" w:color="auto" w:fill="E8EEF7"/>
            <w:vAlign w:val="center"/>
            <w:tcMar>
              <w:top w:w="60" w:type="dxa"/>
              <w:bottom w:w="60" w:type="dxa"/>
              <w:left w:w="90" w:type="dxa"/>
              <w:right w:w="90" w:type="dxa"/>
            </w:tcMar>
          </w:tcPr>
          <w:p>
            <w:pPr>
              <w:spacing w:before="20" w:after="20"/>
              <w:jc w:val="left"/>
            </w:pPr>
            <w:r>
              <w:rPr>
                <w:b/>
              </w:rPr>
              <w:t xml:space="preserve">Why it blocks</w:t>
            </w:r>
          </w:p>
        </w:tc>
        <w:tc>
          <w:tcPr>
            <w:tcW w:w="1900" w:type="dxa"/>
            <w:shd w:val="clear" w:color="auto" w:fill="E8EEF7"/>
            <w:vAlign w:val="center"/>
            <w:tcMar>
              <w:top w:w="60" w:type="dxa"/>
              <w:bottom w:w="60" w:type="dxa"/>
              <w:left w:w="90" w:type="dxa"/>
              <w:right w:w="90" w:type="dxa"/>
            </w:tcMar>
          </w:tcPr>
          <w:p>
            <w:pPr>
              <w:spacing w:before="20" w:after="20"/>
              <w:jc w:val="left"/>
            </w:pPr>
            <w:r>
              <w:rPr>
                <w:b/>
              </w:rPr>
              <w:t xml:space="preserve">Lead time</w:t>
            </w:r>
          </w:p>
        </w:tc>
      </w:tr>
      <w:tr>
        <w:tc>
          <w:tcPr>
            <w:tcW w:w="2400" w:type="dxa"/>
            <w:vAlign w:val="center"/>
            <w:tcMar>
              <w:top w:w="60" w:type="dxa"/>
              <w:bottom w:w="60" w:type="dxa"/>
              <w:left w:w="90" w:type="dxa"/>
              <w:right w:w="90" w:type="dxa"/>
            </w:tcMar>
          </w:tcPr>
          <w:p>
            <w:pPr>
              <w:spacing w:before="20" w:after="20"/>
              <w:jc w:val="left"/>
            </w:pPr>
            <w:r>
              <w:t xml:space="preserve">Static public IP of the store’s customer Wi-Fi NAT gateway</w:t>
            </w:r>
          </w:p>
        </w:tc>
        <w:tc>
          <w:tcPr>
            <w:tcW w:w="2000" w:type="dxa"/>
            <w:vAlign w:val="center"/>
            <w:tcMar>
              <w:top w:w="60" w:type="dxa"/>
              <w:bottom w:w="60" w:type="dxa"/>
              <w:left w:w="90" w:type="dxa"/>
              <w:right w:w="90" w:type="dxa"/>
            </w:tcMar>
          </w:tcPr>
          <w:p>
            <w:pPr>
              <w:spacing w:before="20" w:after="20"/>
              <w:jc w:val="left"/>
            </w:pPr>
            <w:r>
              <w:t xml:space="preserve">The supermarket / their ISP</w:t>
            </w:r>
          </w:p>
        </w:tc>
        <w:tc>
          <w:tcPr>
            <w:tcW w:w="3060" w:type="dxa"/>
            <w:vAlign w:val="center"/>
            <w:tcMar>
              <w:top w:w="60" w:type="dxa"/>
              <w:bottom w:w="60" w:type="dxa"/>
              <w:left w:w="90" w:type="dxa"/>
              <w:right w:w="90" w:type="dxa"/>
            </w:tcMar>
          </w:tcPr>
          <w:p>
            <w:pPr>
              <w:spacing w:before="20" w:after="20"/>
              <w:jc w:val="left"/>
            </w:pPr>
            <w:r>
              <w:t xml:space="preserve">Presence verification matches the request’s egress IP against this value. Until it is registered, every customer at that store is denied.</w:t>
            </w:r>
          </w:p>
        </w:tc>
        <w:tc>
          <w:tcPr>
            <w:tcW w:w="1900" w:type="dxa"/>
            <w:vAlign w:val="center"/>
            <w:tcMar>
              <w:top w:w="60" w:type="dxa"/>
              <w:bottom w:w="60" w:type="dxa"/>
              <w:left w:w="90" w:type="dxa"/>
              <w:right w:w="90" w:type="dxa"/>
            </w:tcMar>
          </w:tcPr>
          <w:p>
            <w:pPr>
              <w:spacing w:before="20" w:after="20"/>
              <w:jc w:val="left"/>
            </w:pPr>
            <w:r>
              <w:t xml:space="preserve">Days to weeks. If the line has a dynamic IP, a static one must be ordered.</w:t>
            </w:r>
          </w:p>
        </w:tc>
      </w:tr>
      <w:tr>
        <w:tc>
          <w:tcPr>
            <w:tcW w:w="2400" w:type="dxa"/>
            <w:vAlign w:val="center"/>
            <w:tcMar>
              <w:top w:w="60" w:type="dxa"/>
              <w:bottom w:w="60" w:type="dxa"/>
              <w:left w:w="90" w:type="dxa"/>
              <w:right w:w="90" w:type="dxa"/>
            </w:tcMar>
          </w:tcPr>
          <w:p>
            <w:pPr>
              <w:spacing w:before="20" w:after="20"/>
              <w:jc w:val="left"/>
            </w:pPr>
            <w:r>
              <w:t xml:space="preserve">The retailer’s own UPI VPA, confirmed out of band</w:t>
            </w:r>
          </w:p>
        </w:tc>
        <w:tc>
          <w:tcPr>
            <w:tcW w:w="2000" w:type="dxa"/>
            <w:vAlign w:val="center"/>
            <w:tcMar>
              <w:top w:w="60" w:type="dxa"/>
              <w:bottom w:w="60" w:type="dxa"/>
              <w:left w:w="90" w:type="dxa"/>
              <w:right w:w="90" w:type="dxa"/>
            </w:tcMar>
          </w:tcPr>
          <w:p>
            <w:pPr>
              <w:spacing w:before="20" w:after="20"/>
              <w:jc w:val="left"/>
            </w:pPr>
            <w:r>
              <w:t xml:space="preserve">The supermarket</w:t>
            </w:r>
          </w:p>
        </w:tc>
        <w:tc>
          <w:tcPr>
            <w:tcW w:w="3060" w:type="dxa"/>
            <w:vAlign w:val="center"/>
            <w:tcMar>
              <w:top w:w="60" w:type="dxa"/>
              <w:bottom w:w="60" w:type="dxa"/>
              <w:left w:w="90" w:type="dxa"/>
              <w:right w:w="90" w:type="dxa"/>
            </w:tcMar>
          </w:tcPr>
          <w:p>
            <w:pPr>
              <w:spacing w:before="20" w:after="20"/>
              <w:jc w:val="left"/>
            </w:pPr>
            <w:r>
              <w:t xml:space="preserve">Under phase 1 customer money goes directly to the shop, so the payee is a per-store field rather than one platform account. It is format-checked but not owner-verified: a well-formed typo pays a stranger, irreversibly.</w:t>
            </w:r>
          </w:p>
        </w:tc>
        <w:tc>
          <w:tcPr>
            <w:tcW w:w="1900" w:type="dxa"/>
            <w:vAlign w:val="center"/>
            <w:tcMar>
              <w:top w:w="60" w:type="dxa"/>
              <w:bottom w:w="60" w:type="dxa"/>
              <w:left w:w="90" w:type="dxa"/>
              <w:right w:w="90" w:type="dxa"/>
            </w:tcMar>
          </w:tcPr>
          <w:p>
            <w:pPr>
              <w:spacing w:before="20" w:after="20"/>
              <w:jc w:val="left"/>
            </w:pPr>
            <w:r>
              <w:t xml:space="preserve">Immediate if the shop already accepts UPI, plus one small test payment per store.</w:t>
            </w:r>
          </w:p>
        </w:tc>
      </w:tr>
      <w:tr>
        <w:tc>
          <w:tcPr>
            <w:tcW w:w="2400" w:type="dxa"/>
            <w:vAlign w:val="center"/>
            <w:tcMar>
              <w:top w:w="60" w:type="dxa"/>
              <w:bottom w:w="60" w:type="dxa"/>
              <w:left w:w="90" w:type="dxa"/>
              <w:right w:w="90" w:type="dxa"/>
            </w:tcMar>
          </w:tcPr>
          <w:p>
            <w:pPr>
              <w:spacing w:before="20" w:after="20"/>
              <w:jc w:val="left"/>
            </w:pPr>
            <w:r>
              <w:t xml:space="preserve">A PSP offering split settlement — Razorpay Route, Cashfree Easy Split, PhonePe sub-merchant</w:t>
            </w:r>
          </w:p>
        </w:tc>
        <w:tc>
          <w:tcPr>
            <w:tcW w:w="2000" w:type="dxa"/>
            <w:vAlign w:val="center"/>
            <w:tcMar>
              <w:top w:w="60" w:type="dxa"/>
              <w:bottom w:w="60" w:type="dxa"/>
              <w:left w:w="90" w:type="dxa"/>
              <w:right w:w="90" w:type="dxa"/>
            </w:tcMar>
          </w:tcPr>
          <w:p>
            <w:pPr>
              <w:spacing w:before="20" w:after="20"/>
              <w:jc w:val="left"/>
            </w:pPr>
            <w:r>
              <w:t xml:space="preserve">A payment aggregator</w:t>
            </w:r>
          </w:p>
        </w:tc>
        <w:tc>
          <w:tcPr>
            <w:tcW w:w="3060" w:type="dxa"/>
            <w:vAlign w:val="center"/>
            <w:tcMar>
              <w:top w:w="60" w:type="dxa"/>
              <w:bottom w:w="60" w:type="dxa"/>
              <w:left w:w="90" w:type="dxa"/>
              <w:right w:w="90" w:type="dxa"/>
            </w:tcMar>
          </w:tcPr>
          <w:p>
            <w:pPr>
              <w:spacing w:before="20" w:after="20"/>
              <w:jc w:val="left"/>
            </w:pPr>
            <w:r>
              <w:t xml:space="preserve">The only way to obtain server-to-server payment confirmation while money still lands in the merchant’s account. Without it, a paid order cannot be distinguished from a claimed one.</w:t>
            </w:r>
          </w:p>
        </w:tc>
        <w:tc>
          <w:tcPr>
            <w:tcW w:w="1900" w:type="dxa"/>
            <w:vAlign w:val="center"/>
            <w:tcMar>
              <w:top w:w="60" w:type="dxa"/>
              <w:bottom w:w="60" w:type="dxa"/>
              <w:left w:w="90" w:type="dxa"/>
              <w:right w:w="90" w:type="dxa"/>
            </w:tcMar>
          </w:tcPr>
          <w:p>
            <w:pPr>
              <w:spacing w:before="20" w:after="20"/>
              <w:jc w:val="left"/>
            </w:pPr>
            <w:r>
              <w:t xml:space="preserve">Weeks, including business registration and KYC review.</w:t>
            </w:r>
          </w:p>
        </w:tc>
      </w:tr>
    </w:tbl>
    <w:p>
      <w:pPr>
        <w:spacing w:after="0"/>
      </w:pPr>
    </w:p>
    <w:p>
      <w:pPr>
        <w:spacing w:before="0" w:after="240"/>
      </w:pPr>
      <w:r>
        <w:t xml:space="preserve">Consequence worth agreeing up front: a customer on cellular data while standing inside the store will be refused, because their traffic does not cross the store network. This is correct under the presence requirement, but store staff must be briefed to tell shoppers to join the store Wi-Fi.</w:t>
      </w:r>
    </w:p>
    <w:p>
      <w:pPr>
        <w:pStyle w:val="Heading1"/>
        <w:spacing w:before="360" w:after="120"/>
        <w:outlineLvl w:val="0"/>
      </w:pPr>
      <w:r>
        <w:t xml:space="preserve">3. Blockers for a supervised pilot (no payment)</w:t>
      </w:r>
    </w:p>
    <w:p>
      <w:pPr>
        <w:spacing w:before="0" w:after="240"/>
      </w:pPr>
      <w:r>
        <w:t xml:space="preserve">The shortest useful path to a real store. This validates the genuinely novel part — whether egress-IP presence verification holds up with real shoppers on real store Wi-Fi — while the failure mode is only "shopper is asked to connect to Wi-Fi". Checkout stays at a normal till.</w:t>
      </w:r>
    </w:p>
    <w:tbl>
      <w:tblPr>
        <w:tblW w:w="5000" w:type="pct"/>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Pr>
      <w:tblGrid>
        <w:gridCol w:w="2600"/>
        <w:gridCol w:w="3380"/>
        <w:gridCol w:w="3380"/>
      </w:tblGrid>
      <w:tr>
        <w:trPr>
          <w:tblHeader/>
        </w:trPr>
        <w:tc>
          <w:tcPr>
            <w:tcW w:w="2600" w:type="dxa"/>
            <w:shd w:val="clear" w:color="auto" w:fill="E8EEF7"/>
            <w:vAlign w:val="center"/>
            <w:tcMar>
              <w:top w:w="60" w:type="dxa"/>
              <w:bottom w:w="60" w:type="dxa"/>
              <w:left w:w="90" w:type="dxa"/>
              <w:right w:w="90" w:type="dxa"/>
            </w:tcMar>
          </w:tcPr>
          <w:p>
            <w:pPr>
              <w:spacing w:before="20" w:after="20"/>
              <w:jc w:val="left"/>
            </w:pPr>
            <w:r>
              <w:rPr>
                <w:b/>
              </w:rPr>
              <w:t xml:space="preserve">Item</w:t>
            </w:r>
          </w:p>
        </w:tc>
        <w:tc>
          <w:tcPr>
            <w:tcW w:w="3380" w:type="dxa"/>
            <w:shd w:val="clear" w:color="auto" w:fill="E8EEF7"/>
            <w:vAlign w:val="center"/>
            <w:tcMar>
              <w:top w:w="60" w:type="dxa"/>
              <w:bottom w:w="60" w:type="dxa"/>
              <w:left w:w="90" w:type="dxa"/>
              <w:right w:w="90" w:type="dxa"/>
            </w:tcMar>
          </w:tcPr>
          <w:p>
            <w:pPr>
              <w:spacing w:before="20" w:after="20"/>
              <w:jc w:val="left"/>
            </w:pPr>
            <w:r>
              <w:rPr>
                <w:b/>
              </w:rPr>
              <w:t xml:space="preserve">Current state</w:t>
            </w:r>
          </w:p>
        </w:tc>
        <w:tc>
          <w:tcPr>
            <w:tcW w:w="3380" w:type="dxa"/>
            <w:shd w:val="clear" w:color="auto" w:fill="E8EEF7"/>
            <w:vAlign w:val="center"/>
            <w:tcMar>
              <w:top w:w="60" w:type="dxa"/>
              <w:bottom w:w="60" w:type="dxa"/>
              <w:left w:w="90" w:type="dxa"/>
              <w:right w:w="90" w:type="dxa"/>
            </w:tcMar>
          </w:tcPr>
          <w:p>
            <w:pPr>
              <w:spacing w:before="20" w:after="20"/>
              <w:jc w:val="left"/>
            </w:pPr>
            <w:r>
              <w:rPr>
                <w:b/>
              </w:rPr>
              <w:t xml:space="preserve">What "done" looks like</w:t>
            </w:r>
          </w:p>
        </w:tc>
      </w:tr>
      <w:tr>
        <w:tc>
          <w:tcPr>
            <w:tcW w:w="2600" w:type="dxa"/>
            <w:vAlign w:val="center"/>
            <w:tcMar>
              <w:top w:w="60" w:type="dxa"/>
              <w:bottom w:w="60" w:type="dxa"/>
              <w:left w:w="90" w:type="dxa"/>
              <w:right w:w="90" w:type="dxa"/>
            </w:tcMar>
          </w:tcPr>
          <w:p>
            <w:pPr>
              <w:spacing w:before="20" w:after="20"/>
              <w:jc w:val="left"/>
            </w:pPr>
            <w:r>
              <w:t xml:space="preserve">Durable storage for every repository</w:t>
            </w:r>
          </w:p>
        </w:tc>
        <w:tc>
          <w:tcPr>
            <w:tcW w:w="3380" w:type="dxa"/>
            <w:vAlign w:val="center"/>
            <w:tcMar>
              <w:top w:w="60" w:type="dxa"/>
              <w:bottom w:w="60" w:type="dxa"/>
              <w:left w:w="90" w:type="dxa"/>
              <w:right w:w="90" w:type="dxa"/>
            </w:tcMar>
          </w:tcPr>
          <w:p>
            <w:pPr>
              <w:spacing w:before="20" w:after="20"/>
              <w:jc w:val="left"/>
            </w:pPr>
            <w:r>
              <w:t xml:space="preserve">All four repositories — stores, products, orders and the analytics event log — hold records in process memory. This was tolerable while the first two were seed data. It is not now: a paid order and a day’s trading figures exist nowhere else and vanish on the next deploy, and under serverless fan-out each instance reports only the events it happened to serve, so the owner’s dashboard shows a varying fraction of the truth on every refresh.</w:t>
            </w:r>
          </w:p>
        </w:tc>
        <w:tc>
          <w:tcPr>
            <w:tcW w:w="3380" w:type="dxa"/>
            <w:vAlign w:val="center"/>
            <w:tcMar>
              <w:top w:w="60" w:type="dxa"/>
              <w:bottom w:w="60" w:type="dxa"/>
              <w:left w:w="90" w:type="dxa"/>
              <w:right w:w="90" w:type="dxa"/>
            </w:tcMar>
          </w:tcPr>
          <w:p>
            <w:pPr>
              <w:spacing w:before="20" w:after="20"/>
              <w:jc w:val="left"/>
            </w:pPr>
            <w:r>
              <w:t xml:space="preserve">Postgres implementations of the four existing repository interfaces. By design each is one export line — no route, component, or auth code is touched.</w:t>
            </w:r>
          </w:p>
        </w:tc>
      </w:tr>
      <w:tr>
        <w:tc>
          <w:tcPr>
            <w:tcW w:w="2600" w:type="dxa"/>
            <w:vAlign w:val="center"/>
            <w:tcMar>
              <w:top w:w="60" w:type="dxa"/>
              <w:bottom w:w="60" w:type="dxa"/>
              <w:left w:w="90" w:type="dxa"/>
              <w:right w:w="90" w:type="dxa"/>
            </w:tcMar>
          </w:tcPr>
          <w:p>
            <w:pPr>
              <w:spacing w:before="20" w:after="20"/>
              <w:jc w:val="left"/>
            </w:pPr>
            <w:r>
              <w:t xml:space="preserve">Real store network ranges</w:t>
            </w:r>
          </w:p>
        </w:tc>
        <w:tc>
          <w:tcPr>
            <w:tcW w:w="3380" w:type="dxa"/>
            <w:vAlign w:val="center"/>
            <w:tcMar>
              <w:top w:w="60" w:type="dxa"/>
              <w:bottom w:w="60" w:type="dxa"/>
              <w:left w:w="90" w:type="dxa"/>
              <w:right w:w="90" w:type="dxa"/>
            </w:tcMar>
          </w:tcPr>
          <w:p>
            <w:pPr>
              <w:spacing w:before="20" w:after="20"/>
              <w:jc w:val="left"/>
            </w:pPr>
            <w:r>
              <w:t xml:space="preserve">Seed data contains RFC 5737 documentation addresses (198.51.100.x), which match no real network. The admin console now flags this on save, so the problem is visible rather than latent.</w:t>
            </w:r>
          </w:p>
        </w:tc>
        <w:tc>
          <w:tcPr>
            <w:tcW w:w="3380" w:type="dxa"/>
            <w:vAlign w:val="center"/>
            <w:tcMar>
              <w:top w:w="60" w:type="dxa"/>
              <w:bottom w:w="60" w:type="dxa"/>
              <w:left w:w="90" w:type="dxa"/>
              <w:right w:w="90" w:type="dxa"/>
            </w:tcMar>
          </w:tcPr>
          <w:p>
            <w:pPr>
              <w:spacing w:before="20" w:after="20"/>
              <w:jc w:val="left"/>
            </w:pPr>
            <w:r>
              <w:t xml:space="preserve">The store’s real gateway IP registered through the admin console, and one end-to-end scan completed on site.</w:t>
            </w:r>
          </w:p>
        </w:tc>
      </w:tr>
      <w:tr>
        <w:tc>
          <w:tcPr>
            <w:tcW w:w="2600" w:type="dxa"/>
            <w:vAlign w:val="center"/>
            <w:tcMar>
              <w:top w:w="60" w:type="dxa"/>
              <w:bottom w:w="60" w:type="dxa"/>
              <w:left w:w="90" w:type="dxa"/>
              <w:right w:w="90" w:type="dxa"/>
            </w:tcMar>
          </w:tcPr>
          <w:p>
            <w:pPr>
              <w:spacing w:before="20" w:after="20"/>
              <w:jc w:val="left"/>
            </w:pPr>
            <w:r>
              <w:t xml:space="preserve">Production secrets provisioned</w:t>
            </w:r>
          </w:p>
        </w:tc>
        <w:tc>
          <w:tcPr>
            <w:tcW w:w="3380" w:type="dxa"/>
            <w:vAlign w:val="center"/>
            <w:tcMar>
              <w:top w:w="60" w:type="dxa"/>
              <w:bottom w:w="60" w:type="dxa"/>
              <w:left w:w="90" w:type="dxa"/>
              <w:right w:w="90" w:type="dxa"/>
            </w:tcMar>
          </w:tcPr>
          <w:p>
            <w:pPr>
              <w:spacing w:before="20" w:after="20"/>
              <w:jc w:val="left"/>
            </w:pPr>
            <w:r>
              <w:t xml:space="preserve">Four secrets are required and the app refuses to start without them, which is correct — but they must actually be set in the deployment environment.</w:t>
            </w:r>
          </w:p>
        </w:tc>
        <w:tc>
          <w:tcPr>
            <w:tcW w:w="3380" w:type="dxa"/>
            <w:vAlign w:val="center"/>
            <w:tcMar>
              <w:top w:w="60" w:type="dxa"/>
              <w:bottom w:w="60" w:type="dxa"/>
              <w:left w:w="90" w:type="dxa"/>
              <w:right w:w="90" w:type="dxa"/>
            </w:tcMar>
          </w:tcPr>
          <w:p>
            <w:pPr>
              <w:spacing w:before="20" w:after="20"/>
              <w:jc w:val="left"/>
            </w:pPr>
            <w:r>
              <w:rPr>
                <w:rFonts w:ascii="Consolas" w:hAnsi="Consolas"/>
                <w:sz w:val="18"/>
                <w:color w:val="B03060"/>
              </w:rPr>
              <w:t xml:space="preserve">SNAPUP_QR_SECRET</w:t>
            </w:r>
            <w:r>
              <w:t xml:space="preserve">, </w:t>
            </w:r>
            <w:r>
              <w:rPr>
                <w:rFonts w:ascii="Consolas" w:hAnsi="Consolas"/>
                <w:sz w:val="18"/>
                <w:color w:val="B03060"/>
              </w:rPr>
              <w:t xml:space="preserve">SNAPUP_SESSION_SECRET</w:t>
            </w:r>
            <w:r>
              <w:t xml:space="preserve">, </w:t>
            </w:r>
            <w:r>
              <w:rPr>
                <w:rFonts w:ascii="Consolas" w:hAnsi="Consolas"/>
                <w:sz w:val="18"/>
                <w:color w:val="B03060"/>
              </w:rPr>
              <w:t xml:space="preserve">SNAPUP_EXIT_TOKEN_SECRET</w:t>
            </w:r>
            <w:r>
              <w:t xml:space="preserve"> and </w:t>
            </w:r>
            <w:r>
              <w:rPr>
                <w:rFonts w:ascii="Consolas" w:hAnsi="Consolas"/>
                <w:sz w:val="18"/>
                <w:color w:val="B03060"/>
              </w:rPr>
              <w:t xml:space="preserve">SNAPUP_ADMIN_API_TOKEN</w:t>
            </w:r>
            <w:r>
              <w:t xml:space="preserve"> set, with the admin token matching across both apps.</w:t>
            </w:r>
          </w:p>
        </w:tc>
      </w:tr>
      <w:tr>
        <w:tc>
          <w:tcPr>
            <w:tcW w:w="2600" w:type="dxa"/>
            <w:vAlign w:val="center"/>
            <w:tcMar>
              <w:top w:w="60" w:type="dxa"/>
              <w:bottom w:w="60" w:type="dxa"/>
              <w:left w:w="90" w:type="dxa"/>
              <w:right w:w="90" w:type="dxa"/>
            </w:tcMar>
          </w:tcPr>
          <w:p>
            <w:pPr>
              <w:spacing w:before="20" w:after="20"/>
              <w:jc w:val="left"/>
            </w:pPr>
            <w:r>
              <w:t xml:space="preserve">Proxy hop count verified</w:t>
            </w:r>
          </w:p>
        </w:tc>
        <w:tc>
          <w:tcPr>
            <w:tcW w:w="3380" w:type="dxa"/>
            <w:vAlign w:val="center"/>
            <w:tcMar>
              <w:top w:w="60" w:type="dxa"/>
              <w:bottom w:w="60" w:type="dxa"/>
              <w:left w:w="90" w:type="dxa"/>
              <w:right w:w="90" w:type="dxa"/>
            </w:tcMar>
          </w:tcPr>
          <w:p>
            <w:pPr>
              <w:spacing w:before="20" w:after="20"/>
              <w:jc w:val="left"/>
            </w:pPr>
            <w:r>
              <w:t xml:space="preserve">Defaults to 1, which is correct for Vercel.</w:t>
            </w:r>
          </w:p>
        </w:tc>
        <w:tc>
          <w:tcPr>
            <w:tcW w:w="3380" w:type="dxa"/>
            <w:vAlign w:val="center"/>
            <w:tcMar>
              <w:top w:w="60" w:type="dxa"/>
              <w:bottom w:w="60" w:type="dxa"/>
              <w:left w:w="90" w:type="dxa"/>
              <w:right w:w="90" w:type="dxa"/>
            </w:tcMar>
          </w:tcPr>
          <w:p>
            <w:pPr>
              <w:spacing w:before="20" w:after="20"/>
              <w:jc w:val="left"/>
            </w:pPr>
            <w:r>
              <w:t xml:space="preserve">Confirmed against the actual deployment. If this is wrong, the egress IP is read from the wrong position and presence verification can be spoofed.</w:t>
            </w:r>
          </w:p>
        </w:tc>
      </w:tr>
    </w:tbl>
    <w:p>
      <w:pPr>
        <w:spacing w:after="0"/>
      </w:pPr>
    </w:p>
    <w:p>
      <w:pPr>
        <w:pStyle w:val="Heading1"/>
        <w:spacing w:before="360" w:after="120"/>
        <w:outlineLvl w:val="0"/>
      </w:pPr>
      <w:r>
        <w:t xml:space="preserve">4. Blockers for live checkout</w:t>
      </w:r>
    </w:p>
    <w:p>
      <w:pPr>
        <w:spacing w:before="0" w:after="240"/>
      </w:pPr>
      <w:r>
        <w:t xml:space="preserve">Each of these is a path to financial loss or a disputed transaction. The pricing and order-record gaps listed here in the previous revision have since been closed; what remains is concentrated on proving that money actually moved.</w:t>
      </w:r>
    </w:p>
    <w:tbl>
      <w:tblPr>
        <w:tblW w:w="5000" w:type="pct"/>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Pr>
      <w:tblGrid>
        <w:gridCol w:w="2600"/>
        <w:gridCol w:w="3380"/>
        <w:gridCol w:w="3380"/>
      </w:tblGrid>
      <w:tr>
        <w:trPr>
          <w:tblHeader/>
        </w:trPr>
        <w:tc>
          <w:tcPr>
            <w:tcW w:w="2600" w:type="dxa"/>
            <w:shd w:val="clear" w:color="auto" w:fill="E8EEF7"/>
            <w:vAlign w:val="center"/>
            <w:tcMar>
              <w:top w:w="60" w:type="dxa"/>
              <w:bottom w:w="60" w:type="dxa"/>
              <w:left w:w="90" w:type="dxa"/>
              <w:right w:w="90" w:type="dxa"/>
            </w:tcMar>
          </w:tcPr>
          <w:p>
            <w:pPr>
              <w:spacing w:before="20" w:after="20"/>
              <w:jc w:val="left"/>
            </w:pPr>
            <w:r>
              <w:rPr>
                <w:b/>
              </w:rPr>
              <w:t xml:space="preserve">Item</w:t>
            </w:r>
          </w:p>
        </w:tc>
        <w:tc>
          <w:tcPr>
            <w:tcW w:w="3380" w:type="dxa"/>
            <w:shd w:val="clear" w:color="auto" w:fill="E8EEF7"/>
            <w:vAlign w:val="center"/>
            <w:tcMar>
              <w:top w:w="60" w:type="dxa"/>
              <w:bottom w:w="60" w:type="dxa"/>
              <w:left w:w="90" w:type="dxa"/>
              <w:right w:w="90" w:type="dxa"/>
            </w:tcMar>
          </w:tcPr>
          <w:p>
            <w:pPr>
              <w:spacing w:before="20" w:after="20"/>
              <w:jc w:val="left"/>
            </w:pPr>
            <w:r>
              <w:rPr>
                <w:b/>
              </w:rPr>
              <w:t xml:space="preserve">Current state</w:t>
            </w:r>
          </w:p>
        </w:tc>
        <w:tc>
          <w:tcPr>
            <w:tcW w:w="3380" w:type="dxa"/>
            <w:shd w:val="clear" w:color="auto" w:fill="E8EEF7"/>
            <w:vAlign w:val="center"/>
            <w:tcMar>
              <w:top w:w="60" w:type="dxa"/>
              <w:bottom w:w="60" w:type="dxa"/>
              <w:left w:w="90" w:type="dxa"/>
              <w:right w:w="90" w:type="dxa"/>
            </w:tcMar>
          </w:tcPr>
          <w:p>
            <w:pPr>
              <w:spacing w:before="20" w:after="20"/>
              <w:jc w:val="left"/>
            </w:pPr>
            <w:r>
              <w:rPr>
                <w:b/>
              </w:rPr>
              <w:t xml:space="preserve">Risk if launched as-is</w:t>
            </w:r>
          </w:p>
        </w:tc>
      </w:tr>
      <w:tr>
        <w:tc>
          <w:tcPr>
            <w:tcW w:w="2600" w:type="dxa"/>
            <w:vAlign w:val="center"/>
            <w:tcMar>
              <w:top w:w="60" w:type="dxa"/>
              <w:bottom w:w="60" w:type="dxa"/>
              <w:left w:w="90" w:type="dxa"/>
              <w:right w:w="90" w:type="dxa"/>
            </w:tcMar>
          </w:tcPr>
          <w:p>
            <w:pPr>
              <w:spacing w:before="20" w:after="20"/>
              <w:jc w:val="left"/>
            </w:pPr>
            <w:r>
              <w:t xml:space="preserve">Payment confirmation</w:t>
            </w:r>
          </w:p>
        </w:tc>
        <w:tc>
          <w:tcPr>
            <w:tcW w:w="3380" w:type="dxa"/>
            <w:vAlign w:val="center"/>
            <w:tcMar>
              <w:top w:w="60" w:type="dxa"/>
              <w:bottom w:w="60" w:type="dxa"/>
              <w:left w:w="90" w:type="dxa"/>
              <w:right w:w="90" w:type="dxa"/>
            </w:tcMar>
          </w:tcPr>
          <w:p>
            <w:pPr>
              <w:spacing w:before="20" w:after="20"/>
              <w:jc w:val="left"/>
            </w:pPr>
            <w:r>
              <w:t xml:space="preserve">Absent, and not obtainable under the current settlement model. Money goes straight to the retailer’s UPI account, so SnapUp is not a party to the transaction and no provider will confirm it. The only in-app signal is the customer tapping "I've paid", recorded honestly as </w:t>
            </w:r>
            <w:r>
              <w:rPr>
                <w:rFonts w:ascii="Consolas" w:hAnsi="Consolas"/>
                <w:sz w:val="18"/>
                <w:color w:val="B03060"/>
              </w:rPr>
              <w:t xml:space="preserve">customer_attested</w:t>
            </w:r>
            <w:r>
              <w:t xml:space="preserve"> and stamped into the exit token so a gate can tell it apart from a verified payment.</w:t>
            </w:r>
          </w:p>
        </w:tc>
        <w:tc>
          <w:tcPr>
            <w:tcW w:w="3380" w:type="dxa"/>
            <w:vAlign w:val="center"/>
            <w:tcMar>
              <w:top w:w="60" w:type="dxa"/>
              <w:bottom w:w="60" w:type="dxa"/>
              <w:left w:w="90" w:type="dxa"/>
              <w:right w:w="90" w:type="dxa"/>
            </w:tcMar>
          </w:tcPr>
          <w:p>
            <w:pPr>
              <w:spacing w:before="20" w:after="20"/>
              <w:jc w:val="left"/>
            </w:pPr>
            <w:r>
              <w:t xml:space="preserve">A self-attested payment is a claim, not evidence. On its own it must not open a gate. This is the largest open risk in the system.</w:t>
            </w:r>
          </w:p>
        </w:tc>
      </w:tr>
      <w:tr>
        <w:tc>
          <w:tcPr>
            <w:tcW w:w="2600" w:type="dxa"/>
            <w:vAlign w:val="center"/>
            <w:tcMar>
              <w:top w:w="60" w:type="dxa"/>
              <w:bottom w:w="60" w:type="dxa"/>
              <w:left w:w="90" w:type="dxa"/>
              <w:right w:w="90" w:type="dxa"/>
            </w:tcMar>
          </w:tcPr>
          <w:p>
            <w:pPr>
              <w:spacing w:before="20" w:after="20"/>
              <w:jc w:val="left"/>
            </w:pPr>
            <w:r>
              <w:t xml:space="preserve">Exit-gate enforcement</w:t>
            </w:r>
          </w:p>
        </w:tc>
        <w:tc>
          <w:tcPr>
            <w:tcW w:w="3380" w:type="dxa"/>
            <w:vAlign w:val="center"/>
            <w:tcMar>
              <w:top w:w="60" w:type="dxa"/>
              <w:bottom w:w="60" w:type="dxa"/>
              <w:left w:w="90" w:type="dxa"/>
              <w:right w:w="90" w:type="dxa"/>
            </w:tcMar>
          </w:tcPr>
          <w:p>
            <w:pPr>
              <w:spacing w:before="20" w:after="20"/>
              <w:jc w:val="left"/>
            </w:pPr>
            <w:r>
              <w:t xml:space="preserve">The exit token is server-signed over the server’s own weight and amount and carries the confirmation level, but nothing at the door reads it yet — there is no gate app or staff verification screen.</w:t>
            </w:r>
          </w:p>
        </w:tc>
        <w:tc>
          <w:tcPr>
            <w:tcW w:w="3380" w:type="dxa"/>
            <w:vAlign w:val="center"/>
            <w:tcMar>
              <w:top w:w="60" w:type="dxa"/>
              <w:bottom w:w="60" w:type="dxa"/>
              <w:left w:w="90" w:type="dxa"/>
              <w:right w:w="90" w:type="dxa"/>
            </w:tcMar>
          </w:tcPr>
          <w:p>
            <w:pPr>
              <w:spacing w:before="20" w:after="20"/>
              <w:jc w:val="left"/>
            </w:pPr>
            <w:r>
              <w:t xml:space="preserve">A correct token nobody checks is equivalent to no token. Until a gate reads it, the only control on the way out is a human looking at a phone screen.</w:t>
            </w:r>
          </w:p>
        </w:tc>
      </w:tr>
      <w:tr>
        <w:tc>
          <w:tcPr>
            <w:tcW w:w="2600" w:type="dxa"/>
            <w:vAlign w:val="center"/>
            <w:tcMar>
              <w:top w:w="60" w:type="dxa"/>
              <w:bottom w:w="60" w:type="dxa"/>
              <w:left w:w="90" w:type="dxa"/>
              <w:right w:w="90" w:type="dxa"/>
            </w:tcMar>
          </w:tcPr>
          <w:p>
            <w:pPr>
              <w:spacing w:before="20" w:after="20"/>
              <w:jc w:val="left"/>
            </w:pPr>
            <w:r>
              <w:t xml:space="preserve">Durable order records</w:t>
            </w:r>
          </w:p>
        </w:tc>
        <w:tc>
          <w:tcPr>
            <w:tcW w:w="3380" w:type="dxa"/>
            <w:vAlign w:val="center"/>
            <w:tcMar>
              <w:top w:w="60" w:type="dxa"/>
              <w:bottom w:w="60" w:type="dxa"/>
              <w:left w:w="90" w:type="dxa"/>
              <w:right w:w="90" w:type="dxa"/>
            </w:tcMar>
          </w:tcPr>
          <w:p>
            <w:pPr>
              <w:spacing w:before="20" w:after="20"/>
              <w:jc w:val="left"/>
            </w:pPr>
            <w:r>
              <w:t xml:space="preserve">Orders are created and priced server-side, but persisted only in process memory.</w:t>
            </w:r>
          </w:p>
        </w:tc>
        <w:tc>
          <w:tcPr>
            <w:tcW w:w="3380" w:type="dxa"/>
            <w:vAlign w:val="center"/>
            <w:tcMar>
              <w:top w:w="60" w:type="dxa"/>
              <w:bottom w:w="60" w:type="dxa"/>
              <w:left w:w="90" w:type="dxa"/>
              <w:right w:w="90" w:type="dxa"/>
            </w:tcMar>
          </w:tcPr>
          <w:p>
            <w:pPr>
              <w:spacing w:before="20" w:after="20"/>
              <w:jc w:val="left"/>
            </w:pPr>
            <w:r>
              <w:t xml:space="preserve">A paid order disappears on redeploy, leaving a customer charged with no record on the retailer’s side. This is the storage item in section 3 seen from the money side.</w:t>
            </w:r>
          </w:p>
        </w:tc>
      </w:tr>
      <w:tr>
        <w:tc>
          <w:tcPr>
            <w:tcW w:w="2600" w:type="dxa"/>
            <w:vAlign w:val="center"/>
            <w:tcMar>
              <w:top w:w="60" w:type="dxa"/>
              <w:bottom w:w="60" w:type="dxa"/>
              <w:left w:w="90" w:type="dxa"/>
              <w:right w:w="90" w:type="dxa"/>
            </w:tcMar>
          </w:tcPr>
          <w:p>
            <w:pPr>
              <w:spacing w:before="20" w:after="20"/>
              <w:jc w:val="left"/>
            </w:pPr>
            <w:r>
              <w:t xml:space="preserve">Real customer authentication</w:t>
            </w:r>
          </w:p>
        </w:tc>
        <w:tc>
          <w:tcPr>
            <w:tcW w:w="3380" w:type="dxa"/>
            <w:vAlign w:val="center"/>
            <w:tcMar>
              <w:top w:w="60" w:type="dxa"/>
              <w:bottom w:w="60" w:type="dxa"/>
              <w:left w:w="90" w:type="dxa"/>
              <w:right w:w="90" w:type="dxa"/>
            </w:tcMar>
          </w:tcPr>
          <w:p>
            <w:pPr>
              <w:spacing w:before="20" w:after="20"/>
              <w:jc w:val="left"/>
            </w:pPr>
            <w:r>
              <w:t xml:space="preserve">OTP login accepts any 4-digit code and calls no SMS or auth backend.</w:t>
            </w:r>
          </w:p>
        </w:tc>
        <w:tc>
          <w:tcPr>
            <w:tcW w:w="3380" w:type="dxa"/>
            <w:vAlign w:val="center"/>
            <w:tcMar>
              <w:top w:w="60" w:type="dxa"/>
              <w:bottom w:w="60" w:type="dxa"/>
              <w:left w:w="90" w:type="dxa"/>
              <w:right w:w="90" w:type="dxa"/>
            </w:tcMar>
          </w:tcPr>
          <w:p>
            <w:pPr>
              <w:spacing w:before="20" w:after="20"/>
              <w:jc w:val="left"/>
            </w:pPr>
            <w:r>
              <w:t xml:space="preserve">Accounts are not real identities, so nothing can be attributed to a person. The 5% discount is currently withheld rather than granted for exactly this reason, which closes the fraud path at the cost of a genuine customer not receiving it either.</w:t>
            </w:r>
          </w:p>
        </w:tc>
      </w:tr>
      <w:tr>
        <w:tc>
          <w:tcPr>
            <w:tcW w:w="2600" w:type="dxa"/>
            <w:vAlign w:val="center"/>
            <w:tcMar>
              <w:top w:w="60" w:type="dxa"/>
              <w:bottom w:w="60" w:type="dxa"/>
              <w:left w:w="90" w:type="dxa"/>
              <w:right w:w="90" w:type="dxa"/>
            </w:tcMar>
          </w:tcPr>
          <w:p>
            <w:pPr>
              <w:spacing w:before="20" w:after="20"/>
              <w:jc w:val="left"/>
            </w:pPr>
            <w:r>
              <w:t xml:space="preserve">Payment reconciliation</w:t>
            </w:r>
          </w:p>
        </w:tc>
        <w:tc>
          <w:tcPr>
            <w:tcW w:w="3380" w:type="dxa"/>
            <w:vAlign w:val="center"/>
            <w:tcMar>
              <w:top w:w="60" w:type="dxa"/>
              <w:bottom w:w="60" w:type="dxa"/>
              <w:left w:w="90" w:type="dxa"/>
              <w:right w:w="90" w:type="dxa"/>
            </w:tcMar>
          </w:tcPr>
          <w:p>
            <w:pPr>
              <w:spacing w:before="20" w:after="20"/>
              <w:jc w:val="left"/>
            </w:pPr>
            <w:r>
              <w:t xml:space="preserve">Not started — depends on the PSP chosen.</w:t>
            </w:r>
          </w:p>
        </w:tc>
        <w:tc>
          <w:tcPr>
            <w:tcW w:w="3380" w:type="dxa"/>
            <w:vAlign w:val="center"/>
            <w:tcMar>
              <w:top w:w="60" w:type="dxa"/>
              <w:bottom w:w="60" w:type="dxa"/>
              <w:left w:w="90" w:type="dxa"/>
              <w:right w:w="90" w:type="dxa"/>
            </w:tcMar>
          </w:tcPr>
          <w:p>
            <w:pPr>
              <w:spacing w:before="20" w:after="20"/>
              <w:jc w:val="left"/>
            </w:pPr>
            <w:r>
              <w:t xml:space="preserve">Without confirmation webhooks there is no way to distinguish a paid order from an abandoned one, and no daily figure the retailer can reconcile against their till.</w:t>
            </w:r>
          </w:p>
        </w:tc>
      </w:tr>
    </w:tbl>
    <w:p>
      <w:pPr>
        <w:spacing w:after="0"/>
      </w:pPr>
    </w:p>
    <w:p>
      <w:pPr>
        <w:pStyle w:val="Heading1"/>
        <w:spacing w:before="360" w:after="120"/>
        <w:outlineLvl w:val="0"/>
      </w:pPr>
      <w:r>
        <w:t xml:space="preserve">5. Hardening before scale</w:t>
      </w:r>
    </w:p>
    <w:p>
      <w:pPr>
        <w:spacing w:before="0" w:after="240"/>
      </w:pPr>
      <w:r>
        <w:t xml:space="preserve">These are sound for a proof of concept and were documented as known limitations. They are not pilot blockers, but each becomes one as traffic or the number of operators grows.</w:t>
      </w:r>
    </w:p>
    <w:tbl>
      <w:tblPr>
        <w:tblW w:w="5000" w:type="pct"/>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Pr>
      <w:tblGrid>
        <w:gridCol w:w="2600"/>
        <w:gridCol w:w="3380"/>
        <w:gridCol w:w="3380"/>
      </w:tblGrid>
      <w:tr>
        <w:trPr>
          <w:tblHeader/>
        </w:trPr>
        <w:tc>
          <w:tcPr>
            <w:tcW w:w="2600" w:type="dxa"/>
            <w:shd w:val="clear" w:color="auto" w:fill="E8EEF7"/>
            <w:vAlign w:val="center"/>
            <w:tcMar>
              <w:top w:w="60" w:type="dxa"/>
              <w:bottom w:w="60" w:type="dxa"/>
              <w:left w:w="90" w:type="dxa"/>
              <w:right w:w="90" w:type="dxa"/>
            </w:tcMar>
          </w:tcPr>
          <w:p>
            <w:pPr>
              <w:spacing w:before="20" w:after="20"/>
              <w:jc w:val="left"/>
            </w:pPr>
            <w:r>
              <w:rPr>
                <w:b/>
              </w:rPr>
              <w:t xml:space="preserve">Item</w:t>
            </w:r>
          </w:p>
        </w:tc>
        <w:tc>
          <w:tcPr>
            <w:tcW w:w="3380" w:type="dxa"/>
            <w:shd w:val="clear" w:color="auto" w:fill="E8EEF7"/>
            <w:vAlign w:val="center"/>
            <w:tcMar>
              <w:top w:w="60" w:type="dxa"/>
              <w:bottom w:w="60" w:type="dxa"/>
              <w:left w:w="90" w:type="dxa"/>
              <w:right w:w="90" w:type="dxa"/>
            </w:tcMar>
          </w:tcPr>
          <w:p>
            <w:pPr>
              <w:spacing w:before="20" w:after="20"/>
              <w:jc w:val="left"/>
            </w:pPr>
            <w:r>
              <w:rPr>
                <w:b/>
              </w:rPr>
              <w:t xml:space="preserve">Limitation</w:t>
            </w:r>
          </w:p>
        </w:tc>
        <w:tc>
          <w:tcPr>
            <w:tcW w:w="3380" w:type="dxa"/>
            <w:shd w:val="clear" w:color="auto" w:fill="E8EEF7"/>
            <w:vAlign w:val="center"/>
            <w:tcMar>
              <w:top w:w="60" w:type="dxa"/>
              <w:bottom w:w="60" w:type="dxa"/>
              <w:left w:w="90" w:type="dxa"/>
              <w:right w:w="90" w:type="dxa"/>
            </w:tcMar>
          </w:tcPr>
          <w:p>
            <w:pPr>
              <w:spacing w:before="20" w:after="20"/>
              <w:jc w:val="left"/>
            </w:pPr>
            <w:r>
              <w:rPr>
                <w:b/>
              </w:rPr>
              <w:t xml:space="preserve">Fix</w:t>
            </w:r>
          </w:p>
        </w:tc>
      </w:tr>
      <w:tr>
        <w:tc>
          <w:tcPr>
            <w:tcW w:w="2600" w:type="dxa"/>
            <w:vAlign w:val="center"/>
            <w:tcMar>
              <w:top w:w="60" w:type="dxa"/>
              <w:bottom w:w="60" w:type="dxa"/>
              <w:left w:w="90" w:type="dxa"/>
              <w:right w:w="90" w:type="dxa"/>
            </w:tcMar>
          </w:tcPr>
          <w:p>
            <w:pPr>
              <w:spacing w:before="20" w:after="20"/>
              <w:jc w:val="left"/>
            </w:pPr>
            <w:r>
              <w:t xml:space="preserve">Rate limiting</w:t>
            </w:r>
          </w:p>
        </w:tc>
        <w:tc>
          <w:tcPr>
            <w:tcW w:w="3380" w:type="dxa"/>
            <w:vAlign w:val="center"/>
            <w:tcMar>
              <w:top w:w="60" w:type="dxa"/>
              <w:bottom w:w="60" w:type="dxa"/>
              <w:left w:w="90" w:type="dxa"/>
              <w:right w:w="90" w:type="dxa"/>
            </w:tcMar>
          </w:tcPr>
          <w:p>
            <w:pPr>
              <w:spacing w:before="20" w:after="20"/>
              <w:jc w:val="left"/>
            </w:pPr>
            <w:r>
              <w:t xml:space="preserve">Token bucket lives in process memory, so the effective limit is roughly capacity × instance count under serverless fan-out.</w:t>
            </w:r>
          </w:p>
        </w:tc>
        <w:tc>
          <w:tcPr>
            <w:tcW w:w="3380" w:type="dxa"/>
            <w:vAlign w:val="center"/>
            <w:tcMar>
              <w:top w:w="60" w:type="dxa"/>
              <w:bottom w:w="60" w:type="dxa"/>
              <w:left w:w="90" w:type="dxa"/>
              <w:right w:w="90" w:type="dxa"/>
            </w:tcMar>
          </w:tcPr>
          <w:p>
            <w:pPr>
              <w:spacing w:before="20" w:after="20"/>
              <w:jc w:val="left"/>
            </w:pPr>
            <w:r>
              <w:t xml:space="preserve">Move to Redis or Vercel KV for a global limit.</w:t>
            </w:r>
          </w:p>
        </w:tc>
      </w:tr>
      <w:tr>
        <w:tc>
          <w:tcPr>
            <w:tcW w:w="2600" w:type="dxa"/>
            <w:vAlign w:val="center"/>
            <w:tcMar>
              <w:top w:w="60" w:type="dxa"/>
              <w:bottom w:w="60" w:type="dxa"/>
              <w:left w:w="90" w:type="dxa"/>
              <w:right w:w="90" w:type="dxa"/>
            </w:tcMar>
          </w:tcPr>
          <w:p>
            <w:pPr>
              <w:spacing w:before="20" w:after="20"/>
              <w:jc w:val="left"/>
            </w:pPr>
            <w:r>
              <w:t xml:space="preserve">Session revocation</w:t>
            </w:r>
          </w:p>
        </w:tc>
        <w:tc>
          <w:tcPr>
            <w:tcW w:w="3380" w:type="dxa"/>
            <w:vAlign w:val="center"/>
            <w:tcMar>
              <w:top w:w="60" w:type="dxa"/>
              <w:bottom w:w="60" w:type="dxa"/>
              <w:left w:w="90" w:type="dxa"/>
              <w:right w:w="90" w:type="dxa"/>
            </w:tcMar>
          </w:tcPr>
          <w:p>
            <w:pPr>
              <w:spacing w:before="20" w:after="20"/>
              <w:jc w:val="left"/>
            </w:pPr>
            <w:r>
              <w:t xml:space="preserve">Also per-instance. Another instance may not know a token was revoked, so explicit logout is not instantaneous.</w:t>
            </w:r>
          </w:p>
        </w:tc>
        <w:tc>
          <w:tcPr>
            <w:tcW w:w="3380" w:type="dxa"/>
            <w:vAlign w:val="center"/>
            <w:tcMar>
              <w:top w:w="60" w:type="dxa"/>
              <w:bottom w:w="60" w:type="dxa"/>
              <w:left w:w="90" w:type="dxa"/>
              <w:right w:w="90" w:type="dxa"/>
            </w:tcMar>
          </w:tcPr>
          <w:p>
            <w:pPr>
              <w:spacing w:before="20" w:after="20"/>
              <w:jc w:val="left"/>
            </w:pPr>
            <w:r>
              <w:t xml:space="preserve">Shared store. The IP binding and 30-minute expiry remain the real boundary regardless.</w:t>
            </w:r>
          </w:p>
        </w:tc>
      </w:tr>
      <w:tr>
        <w:tc>
          <w:tcPr>
            <w:tcW w:w="2600" w:type="dxa"/>
            <w:vAlign w:val="center"/>
            <w:tcMar>
              <w:top w:w="60" w:type="dxa"/>
              <w:bottom w:w="60" w:type="dxa"/>
              <w:left w:w="90" w:type="dxa"/>
              <w:right w:w="90" w:type="dxa"/>
            </w:tcMar>
          </w:tcPr>
          <w:p>
            <w:pPr>
              <w:spacing w:before="20" w:after="20"/>
              <w:jc w:val="left"/>
            </w:pPr>
            <w:r>
              <w:t xml:space="preserve">QR nonce replay</w:t>
            </w:r>
          </w:p>
        </w:tc>
        <w:tc>
          <w:tcPr>
            <w:tcW w:w="3380" w:type="dxa"/>
            <w:vAlign w:val="center"/>
            <w:tcMar>
              <w:top w:w="60" w:type="dxa"/>
              <w:bottom w:w="60" w:type="dxa"/>
              <w:left w:w="90" w:type="dxa"/>
              <w:right w:w="90" w:type="dxa"/>
            </w:tcMar>
          </w:tcPr>
          <w:p>
            <w:pPr>
              <w:spacing w:before="20" w:after="20"/>
              <w:jc w:val="left"/>
            </w:pPr>
            <w:r>
              <w:t xml:space="preserve">A code can be presented more than once inside its 120-second window.</w:t>
            </w:r>
          </w:p>
        </w:tc>
        <w:tc>
          <w:tcPr>
            <w:tcW w:w="3380" w:type="dxa"/>
            <w:vAlign w:val="center"/>
            <w:tcMar>
              <w:top w:w="60" w:type="dxa"/>
              <w:bottom w:w="60" w:type="dxa"/>
              <w:left w:w="90" w:type="dxa"/>
              <w:right w:w="90" w:type="dxa"/>
            </w:tcMar>
          </w:tcPr>
          <w:p>
            <w:pPr>
              <w:spacing w:before="20" w:after="20"/>
              <w:jc w:val="left"/>
            </w:pPr>
            <w:r>
              <w:t xml:space="preserve">Single-use nonces in shared storage. Impact is limited because presence verification still requires the attacker to be on the store network.</w:t>
            </w:r>
          </w:p>
        </w:tc>
      </w:tr>
      <w:tr>
        <w:tc>
          <w:tcPr>
            <w:tcW w:w="2600" w:type="dxa"/>
            <w:vAlign w:val="center"/>
            <w:tcMar>
              <w:top w:w="60" w:type="dxa"/>
              <w:bottom w:w="60" w:type="dxa"/>
              <w:left w:w="90" w:type="dxa"/>
              <w:right w:w="90" w:type="dxa"/>
            </w:tcMar>
          </w:tcPr>
          <w:p>
            <w:pPr>
              <w:spacing w:before="20" w:after="20"/>
              <w:jc w:val="left"/>
            </w:pPr>
            <w:r>
              <w:t xml:space="preserve">Admin identity</w:t>
            </w:r>
          </w:p>
        </w:tc>
        <w:tc>
          <w:tcPr>
            <w:tcW w:w="3380" w:type="dxa"/>
            <w:vAlign w:val="center"/>
            <w:tcMar>
              <w:top w:w="60" w:type="dxa"/>
              <w:bottom w:w="60" w:type="dxa"/>
              <w:left w:w="90" w:type="dxa"/>
              <w:right w:w="90" w:type="dxa"/>
            </w:tcMar>
          </w:tcPr>
          <w:p>
            <w:pPr>
              <w:spacing w:before="20" w:after="20"/>
              <w:jc w:val="left"/>
            </w:pPr>
            <w:r>
              <w:t xml:space="preserve">A single shared token authenticates the admin application, not an individual operator. Registry changes cannot be attributed to a person.</w:t>
            </w:r>
          </w:p>
        </w:tc>
        <w:tc>
          <w:tcPr>
            <w:tcW w:w="3380" w:type="dxa"/>
            <w:vAlign w:val="center"/>
            <w:tcMar>
              <w:top w:w="60" w:type="dxa"/>
              <w:bottom w:w="60" w:type="dxa"/>
              <w:left w:w="90" w:type="dxa"/>
              <w:right w:w="90" w:type="dxa"/>
            </w:tcMar>
          </w:tcPr>
          <w:p>
            <w:pPr>
              <w:spacing w:before="20" w:after="20"/>
              <w:jc w:val="left"/>
            </w:pPr>
            <w:r>
              <w:t xml:space="preserve">Per-operator accounts and an audit trail. This surface controls which networks are trusted, so it warrants more than an API key.</w:t>
            </w:r>
          </w:p>
        </w:tc>
      </w:tr>
      <w:tr>
        <w:tc>
          <w:tcPr>
            <w:tcW w:w="2600" w:type="dxa"/>
            <w:vAlign w:val="center"/>
            <w:tcMar>
              <w:top w:w="60" w:type="dxa"/>
              <w:bottom w:w="60" w:type="dxa"/>
              <w:left w:w="90" w:type="dxa"/>
              <w:right w:w="90" w:type="dxa"/>
            </w:tcMar>
          </w:tcPr>
          <w:p>
            <w:pPr>
              <w:spacing w:before="20" w:after="20"/>
              <w:jc w:val="left"/>
            </w:pPr>
            <w:r>
              <w:t xml:space="preserve">Analytics retention</w:t>
            </w:r>
          </w:p>
        </w:tc>
        <w:tc>
          <w:tcPr>
            <w:tcW w:w="3380" w:type="dxa"/>
            <w:vAlign w:val="center"/>
            <w:tcMar>
              <w:top w:w="60" w:type="dxa"/>
              <w:bottom w:w="60" w:type="dxa"/>
              <w:left w:w="90" w:type="dxa"/>
              <w:right w:w="90" w:type="dxa"/>
            </w:tcMar>
          </w:tcPr>
          <w:p>
            <w:pPr>
              <w:spacing w:before="20" w:after="20"/>
              <w:jc w:val="left"/>
            </w:pPr>
            <w:r>
              <w:t xml:space="preserve">The event log grows without bound in memory and is aggregated on read, which is correct at POC volume and will not stay correct at a year of trading.</w:t>
            </w:r>
          </w:p>
        </w:tc>
        <w:tc>
          <w:tcPr>
            <w:tcW w:w="3380" w:type="dxa"/>
            <w:vAlign w:val="center"/>
            <w:tcMar>
              <w:top w:w="60" w:type="dxa"/>
              <w:bottom w:w="60" w:type="dxa"/>
              <w:left w:w="90" w:type="dxa"/>
              <w:right w:w="90" w:type="dxa"/>
            </w:tcMar>
          </w:tcPr>
          <w:p>
            <w:pPr>
              <w:spacing w:before="20" w:after="20"/>
              <w:jc w:val="left"/>
            </w:pPr>
            <w:r>
              <w:t xml:space="preserve">Persist the log, then roll old events into daily summaries once the durable store exists.</w:t>
            </w:r>
          </w:p>
        </w:tc>
      </w:tr>
    </w:tbl>
    <w:p>
      <w:pPr>
        <w:spacing w:after="0"/>
      </w:pPr>
    </w:p>
    <w:p>
      <w:pPr>
        <w:pStyle w:val="Heading1"/>
        <w:spacing w:before="360" w:after="120"/>
        <w:outlineLvl w:val="0"/>
      </w:pPr>
      <w:r>
        <w:t xml:space="preserve">6. Explicitly not built</w:t>
      </w:r>
    </w:p>
    <w:p>
      <w:pPr>
        <w:spacing w:before="0" w:after="240"/>
      </w:pPr>
      <w:r>
        <w:t xml:space="preserve">Recorded so that nobody plans around them. The first two were removed from the admin console deliberately: they rendered fabricated data, and a demo screen that cannot be made real costs more credibility than it buys.</w:t>
      </w:r>
    </w:p>
    <w:tbl>
      <w:tblPr>
        <w:tblW w:w="5000" w:type="pct"/>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Pr>
      <w:tblGrid>
        <w:gridCol w:w="3200"/>
        <w:gridCol w:w="6160"/>
      </w:tblGrid>
      <w:tr>
        <w:trPr>
          <w:tblHeader/>
        </w:trPr>
        <w:tc>
          <w:tcPr>
            <w:tcW w:w="3200" w:type="dxa"/>
            <w:shd w:val="clear" w:color="auto" w:fill="E8EEF7"/>
            <w:vAlign w:val="center"/>
            <w:tcMar>
              <w:top w:w="60" w:type="dxa"/>
              <w:bottom w:w="60" w:type="dxa"/>
              <w:left w:w="90" w:type="dxa"/>
              <w:right w:w="90" w:type="dxa"/>
            </w:tcMar>
          </w:tcPr>
          <w:p>
            <w:pPr>
              <w:spacing w:before="20" w:after="20"/>
              <w:jc w:val="left"/>
            </w:pPr>
            <w:r>
              <w:rPr>
                <w:b/>
              </w:rPr>
              <w:t xml:space="preserve">Capability</w:t>
            </w:r>
          </w:p>
        </w:tc>
        <w:tc>
          <w:tcPr>
            <w:tcW w:w="6160" w:type="dxa"/>
            <w:shd w:val="clear" w:color="auto" w:fill="E8EEF7"/>
            <w:vAlign w:val="center"/>
            <w:tcMar>
              <w:top w:w="60" w:type="dxa"/>
              <w:bottom w:w="60" w:type="dxa"/>
              <w:left w:w="90" w:type="dxa"/>
              <w:right w:w="90" w:type="dxa"/>
            </w:tcMar>
          </w:tcPr>
          <w:p>
            <w:pPr>
              <w:spacing w:before="20" w:after="20"/>
              <w:jc w:val="left"/>
            </w:pPr>
            <w:r>
              <w:rPr>
                <w:b/>
              </w:rPr>
              <w:t xml:space="preserve">Status</w:t>
            </w:r>
          </w:p>
        </w:tc>
      </w:tr>
      <w:tr>
        <w:tc>
          <w:tcPr>
            <w:tcW w:w="3200" w:type="dxa"/>
            <w:vAlign w:val="center"/>
            <w:tcMar>
              <w:top w:w="60" w:type="dxa"/>
              <w:bottom w:w="60" w:type="dxa"/>
              <w:left w:w="90" w:type="dxa"/>
              <w:right w:w="90" w:type="dxa"/>
            </w:tcMar>
          </w:tcPr>
          <w:p>
            <w:pPr>
              <w:spacing w:before="20" w:after="20"/>
              <w:jc w:val="left"/>
            </w:pPr>
            <w:r>
              <w:t xml:space="preserve">Weight-mismatch and camera-behaviour anomaly detection</w:t>
            </w:r>
          </w:p>
        </w:tc>
        <w:tc>
          <w:tcPr>
            <w:tcW w:w="6160" w:type="dxa"/>
            <w:vAlign w:val="center"/>
            <w:tcMar>
              <w:top w:w="60" w:type="dxa"/>
              <w:bottom w:w="60" w:type="dxa"/>
              <w:left w:w="90" w:type="dxa"/>
              <w:right w:w="90" w:type="dxa"/>
            </w:tcMar>
          </w:tcPr>
          <w:p>
            <w:pPr>
              <w:spacing w:before="20" w:after="20"/>
              <w:jc w:val="left"/>
            </w:pPr>
            <w:r>
              <w:t xml:space="preserve">Not built and not buildable in software alone — requires shelf scales and cameras that do not exist. The screen that implied it has been removed.</w:t>
            </w:r>
          </w:p>
        </w:tc>
      </w:tr>
      <w:tr>
        <w:tc>
          <w:tcPr>
            <w:tcW w:w="3200" w:type="dxa"/>
            <w:vAlign w:val="center"/>
            <w:tcMar>
              <w:top w:w="60" w:type="dxa"/>
              <w:bottom w:w="60" w:type="dxa"/>
              <w:left w:w="90" w:type="dxa"/>
              <w:right w:w="90" w:type="dxa"/>
            </w:tcMar>
          </w:tcPr>
          <w:p>
            <w:pPr>
              <w:spacing w:before="20" w:after="20"/>
              <w:jc w:val="left"/>
            </w:pPr>
            <w:r>
              <w:t xml:space="preserve">Staff management</w:t>
            </w:r>
          </w:p>
        </w:tc>
        <w:tc>
          <w:tcPr>
            <w:tcW w:w="6160" w:type="dxa"/>
            <w:vAlign w:val="center"/>
            <w:tcMar>
              <w:top w:w="60" w:type="dxa"/>
              <w:bottom w:w="60" w:type="dxa"/>
              <w:left w:w="90" w:type="dxa"/>
              <w:right w:w="90" w:type="dxa"/>
            </w:tcMar>
          </w:tcPr>
          <w:p>
            <w:pPr>
              <w:spacing w:before="20" w:after="20"/>
              <w:jc w:val="left"/>
            </w:pPr>
            <w:r>
              <w:t xml:space="preserve">Not built. No backend, no hardware dependency — cheap to rebuild when there is a reason.</w:t>
            </w:r>
          </w:p>
        </w:tc>
      </w:tr>
      <w:tr>
        <w:tc>
          <w:tcPr>
            <w:tcW w:w="3200" w:type="dxa"/>
            <w:vAlign w:val="center"/>
            <w:tcMar>
              <w:top w:w="60" w:type="dxa"/>
              <w:bottom w:w="60" w:type="dxa"/>
              <w:left w:w="90" w:type="dxa"/>
              <w:right w:w="90" w:type="dxa"/>
            </w:tcMar>
          </w:tcPr>
          <w:p>
            <w:pPr>
              <w:spacing w:before="20" w:after="20"/>
              <w:jc w:val="left"/>
            </w:pPr>
            <w:r>
              <w:t xml:space="preserve">Exit gate hardware or staff app</w:t>
            </w:r>
          </w:p>
        </w:tc>
        <w:tc>
          <w:tcPr>
            <w:tcW w:w="6160" w:type="dxa"/>
            <w:vAlign w:val="center"/>
            <w:tcMar>
              <w:top w:w="60" w:type="dxa"/>
              <w:bottom w:w="60" w:type="dxa"/>
              <w:left w:w="90" w:type="dxa"/>
              <w:right w:w="90" w:type="dxa"/>
            </w:tcMar>
          </w:tcPr>
          <w:p>
            <w:pPr>
              <w:spacing w:before="20" w:after="20"/>
              <w:jc w:val="left"/>
            </w:pPr>
            <w:r>
              <w:t xml:space="preserve">Not built. The token it would read exists and is signed; the thing that reads it does not. See section 4.</w:t>
            </w:r>
          </w:p>
        </w:tc>
      </w:tr>
      <w:tr>
        <w:tc>
          <w:tcPr>
            <w:tcW w:w="3200" w:type="dxa"/>
            <w:vAlign w:val="center"/>
            <w:tcMar>
              <w:top w:w="60" w:type="dxa"/>
              <w:bottom w:w="60" w:type="dxa"/>
              <w:left w:w="90" w:type="dxa"/>
              <w:right w:w="90" w:type="dxa"/>
            </w:tcMar>
          </w:tcPr>
          <w:p>
            <w:pPr>
              <w:spacing w:before="20" w:after="20"/>
              <w:jc w:val="left"/>
            </w:pPr>
            <w:r>
              <w:t xml:space="preserve">Native mobile apps</w:t>
            </w:r>
          </w:p>
        </w:tc>
        <w:tc>
          <w:tcPr>
            <w:tcW w:w="6160" w:type="dxa"/>
            <w:vAlign w:val="center"/>
            <w:tcMar>
              <w:top w:w="60" w:type="dxa"/>
              <w:bottom w:w="60" w:type="dxa"/>
              <w:left w:w="90" w:type="dxa"/>
              <w:right w:w="90" w:type="dxa"/>
            </w:tcMar>
          </w:tcPr>
          <w:p>
            <w:pPr>
              <w:spacing w:before="20" w:after="20"/>
              <w:jc w:val="left"/>
            </w:pPr>
            <w:r>
              <w:t xml:space="preserve">There is no App Store or Play Store artifact. This is a web application; the scanner uses the browser camera API. Shipping to app stores would require a PWA wrapper or a native rebuild, with its own review timeline.</w:t>
            </w:r>
          </w:p>
        </w:tc>
      </w:tr>
      <w:tr>
        <w:tc>
          <w:tcPr>
            <w:tcW w:w="3200" w:type="dxa"/>
            <w:vAlign w:val="center"/>
            <w:tcMar>
              <w:top w:w="60" w:type="dxa"/>
              <w:bottom w:w="60" w:type="dxa"/>
              <w:left w:w="90" w:type="dxa"/>
              <w:right w:w="90" w:type="dxa"/>
            </w:tcMar>
          </w:tcPr>
          <w:p>
            <w:pPr>
              <w:spacing w:before="20" w:after="20"/>
              <w:jc w:val="left"/>
            </w:pPr>
            <w:r>
              <w:t xml:space="preserve">Recommended stores</w:t>
            </w:r>
          </w:p>
        </w:tc>
        <w:tc>
          <w:tcPr>
            <w:tcW w:w="6160" w:type="dxa"/>
            <w:vAlign w:val="center"/>
            <w:tcMar>
              <w:top w:w="60" w:type="dxa"/>
              <w:bottom w:w="60" w:type="dxa"/>
              <w:left w:w="90" w:type="dxa"/>
              <w:right w:w="90" w:type="dxa"/>
            </w:tcMar>
          </w:tcPr>
          <w:p>
            <w:pPr>
              <w:spacing w:before="20" w:after="20"/>
              <w:jc w:val="left"/>
            </w:pPr>
            <w:r>
              <w:t xml:space="preserve">The customer home page surfaces nearby stores by real distance. A recommendation ranking beyond proximity does not exist.</w:t>
            </w:r>
          </w:p>
        </w:tc>
      </w:tr>
    </w:tbl>
    <w:p>
      <w:pPr>
        <w:spacing w:after="0"/>
      </w:pPr>
    </w:p>
    <w:p>
      <w:pPr>
        <w:pStyle w:val="Heading1"/>
        <w:spacing w:before="360" w:after="120"/>
        <w:outlineLvl w:val="0"/>
      </w:pPr>
      <w:r>
        <w:t xml:space="preserve">7. What is already validated</w:t>
      </w:r>
    </w:p>
    <w:p>
      <w:pPr>
        <w:spacing w:before="0" w:after="240"/>
      </w:pPr>
      <w:r>
        <w:t xml:space="preserve">Included so the gaps above are read in proportion. Every case below runs against a production build over real HTTP via </w:t>
      </w:r>
      <w:r>
        <w:rPr>
          <w:rFonts w:ascii="Consolas" w:hAnsi="Consolas"/>
          <w:sz w:val="18"/>
          <w:color w:val="B03060"/>
        </w:rPr>
        <w:t xml:space="preserve">npm run validate</w:t>
      </w:r>
      <w:r>
        <w:t xml:space="preserve">, and the suite is verified to fail when the protections are removed.</w:t>
      </w:r>
    </w:p>
    <w:tbl>
      <w:tblPr>
        <w:tblW w:w="5000" w:type="pct"/>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Pr>
      <w:tblGrid>
        <w:gridCol w:w="2400"/>
        <w:gridCol w:w="1400"/>
        <w:gridCol w:w="5560"/>
      </w:tblGrid>
      <w:tr>
        <w:trPr>
          <w:tblHeader/>
        </w:trPr>
        <w:tc>
          <w:tcPr>
            <w:tcW w:w="2400" w:type="dxa"/>
            <w:shd w:val="clear" w:color="auto" w:fill="E8EEF7"/>
            <w:vAlign w:val="center"/>
            <w:tcMar>
              <w:top w:w="60" w:type="dxa"/>
              <w:bottom w:w="60" w:type="dxa"/>
              <w:left w:w="90" w:type="dxa"/>
              <w:right w:w="90" w:type="dxa"/>
            </w:tcMar>
          </w:tcPr>
          <w:p>
            <w:pPr>
              <w:spacing w:before="20" w:after="20"/>
              <w:jc w:val="left"/>
            </w:pPr>
            <w:r>
              <w:rPr>
                <w:b/>
              </w:rPr>
              <w:t xml:space="preserve">Area</w:t>
            </w:r>
          </w:p>
        </w:tc>
        <w:tc>
          <w:tcPr>
            <w:tcW w:w="1400" w:type="dxa"/>
            <w:shd w:val="clear" w:color="auto" w:fill="E8EEF7"/>
            <w:vAlign w:val="center"/>
            <w:tcMar>
              <w:top w:w="60" w:type="dxa"/>
              <w:bottom w:w="60" w:type="dxa"/>
              <w:left w:w="90" w:type="dxa"/>
              <w:right w:w="90" w:type="dxa"/>
            </w:tcMar>
          </w:tcPr>
          <w:p>
            <w:pPr>
              <w:spacing w:before="20" w:after="20"/>
              <w:jc w:val="left"/>
            </w:pPr>
            <w:r>
              <w:rPr>
                <w:b/>
              </w:rPr>
              <w:t xml:space="preserve">Cases</w:t>
            </w:r>
          </w:p>
        </w:tc>
        <w:tc>
          <w:tcPr>
            <w:tcW w:w="5560" w:type="dxa"/>
            <w:shd w:val="clear" w:color="auto" w:fill="E8EEF7"/>
            <w:vAlign w:val="center"/>
            <w:tcMar>
              <w:top w:w="60" w:type="dxa"/>
              <w:bottom w:w="60" w:type="dxa"/>
              <w:left w:w="90" w:type="dxa"/>
              <w:right w:w="90" w:type="dxa"/>
            </w:tcMar>
          </w:tcPr>
          <w:p>
            <w:pPr>
              <w:spacing w:before="20" w:after="20"/>
              <w:jc w:val="left"/>
            </w:pPr>
            <w:r>
              <w:rPr>
                <w:b/>
              </w:rPr>
              <w:t xml:space="preserve">Covers</w:t>
            </w:r>
          </w:p>
        </w:tc>
      </w:tr>
      <w:tr>
        <w:tc>
          <w:tcPr>
            <w:tcW w:w="2400" w:type="dxa"/>
            <w:vAlign w:val="center"/>
            <w:tcMar>
              <w:top w:w="60" w:type="dxa"/>
              <w:bottom w:w="60" w:type="dxa"/>
              <w:left w:w="90" w:type="dxa"/>
              <w:right w:w="90" w:type="dxa"/>
            </w:tcMar>
          </w:tcPr>
          <w:p>
            <w:pPr>
              <w:spacing w:before="20" w:after="20"/>
              <w:jc w:val="left"/>
            </w:pPr>
            <w:r>
              <w:t xml:space="preserve">Presence authentication</w:t>
            </w:r>
          </w:p>
        </w:tc>
        <w:tc>
          <w:tcPr>
            <w:tcW w:w="1400" w:type="dxa"/>
            <w:vAlign w:val="center"/>
            <w:tcMar>
              <w:top w:w="60" w:type="dxa"/>
              <w:bottom w:w="60" w:type="dxa"/>
              <w:left w:w="90" w:type="dxa"/>
              <w:right w:w="90" w:type="dxa"/>
            </w:tcMar>
          </w:tcPr>
          <w:p>
            <w:pPr>
              <w:spacing w:before="20" w:after="20"/>
              <w:jc w:val="left"/>
            </w:pPr>
            <w:r>
              <w:t xml:space="preserve">12</w:t>
            </w:r>
          </w:p>
        </w:tc>
        <w:tc>
          <w:tcPr>
            <w:tcW w:w="5560" w:type="dxa"/>
            <w:vAlign w:val="center"/>
            <w:tcMar>
              <w:top w:w="60" w:type="dxa"/>
              <w:bottom w:w="60" w:type="dxa"/>
              <w:left w:w="90" w:type="dxa"/>
              <w:right w:w="90" w:type="dxa"/>
            </w:tcMar>
          </w:tcPr>
          <w:p>
            <w:pPr>
              <w:spacing w:before="20" w:after="20"/>
              <w:jc w:val="left"/>
            </w:pPr>
            <w:r>
              <w:t xml:space="preserve">QR signing and expiry, egress-IP verification, header spoofing, session binding and termination</w:t>
            </w:r>
          </w:p>
        </w:tc>
      </w:tr>
      <w:tr>
        <w:tc>
          <w:tcPr>
            <w:tcW w:w="2400" w:type="dxa"/>
            <w:vAlign w:val="center"/>
            <w:tcMar>
              <w:top w:w="60" w:type="dxa"/>
              <w:bottom w:w="60" w:type="dxa"/>
              <w:left w:w="90" w:type="dxa"/>
              <w:right w:w="90" w:type="dxa"/>
            </w:tcMar>
          </w:tcPr>
          <w:p>
            <w:pPr>
              <w:spacing w:before="20" w:after="20"/>
              <w:jc w:val="left"/>
            </w:pPr>
            <w:r>
              <w:t xml:space="preserve">Database gateway</w:t>
            </w:r>
          </w:p>
        </w:tc>
        <w:tc>
          <w:tcPr>
            <w:tcW w:w="1400" w:type="dxa"/>
            <w:vAlign w:val="center"/>
            <w:tcMar>
              <w:top w:w="60" w:type="dxa"/>
              <w:bottom w:w="60" w:type="dxa"/>
              <w:left w:w="90" w:type="dxa"/>
              <w:right w:w="90" w:type="dxa"/>
            </w:tcMar>
          </w:tcPr>
          <w:p>
            <w:pPr>
              <w:spacing w:before="20" w:after="20"/>
              <w:jc w:val="left"/>
            </w:pPr>
            <w:r>
              <w:t xml:space="preserve">11</w:t>
            </w:r>
          </w:p>
        </w:tc>
        <w:tc>
          <w:tcPr>
            <w:tcW w:w="5560" w:type="dxa"/>
            <w:vAlign w:val="center"/>
            <w:tcMar>
              <w:top w:w="60" w:type="dxa"/>
              <w:bottom w:w="60" w:type="dxa"/>
              <w:left w:w="90" w:type="dxa"/>
              <w:right w:w="90" w:type="dxa"/>
            </w:tcMar>
          </w:tcPr>
          <w:p>
            <w:pPr>
              <w:spacing w:before="20" w:after="20"/>
              <w:jc w:val="left"/>
            </w:pPr>
            <w:r>
              <w:t xml:space="preserve">Authentication, store scoping, field projection, rate limiting, absence of bulk export</w:t>
            </w:r>
          </w:p>
        </w:tc>
      </w:tr>
      <w:tr>
        <w:tc>
          <w:tcPr>
            <w:tcW w:w="2400" w:type="dxa"/>
            <w:vAlign w:val="center"/>
            <w:tcMar>
              <w:top w:w="60" w:type="dxa"/>
              <w:bottom w:w="60" w:type="dxa"/>
              <w:left w:w="90" w:type="dxa"/>
              <w:right w:w="90" w:type="dxa"/>
            </w:tcMar>
          </w:tcPr>
          <w:p>
            <w:pPr>
              <w:spacing w:before="20" w:after="20"/>
              <w:jc w:val="left"/>
            </w:pPr>
            <w:r>
              <w:t xml:space="preserve">Retrieval speed</w:t>
            </w:r>
          </w:p>
        </w:tc>
        <w:tc>
          <w:tcPr>
            <w:tcW w:w="1400" w:type="dxa"/>
            <w:vAlign w:val="center"/>
            <w:tcMar>
              <w:top w:w="60" w:type="dxa"/>
              <w:bottom w:w="60" w:type="dxa"/>
              <w:left w:w="90" w:type="dxa"/>
              <w:right w:w="90" w:type="dxa"/>
            </w:tcMar>
          </w:tcPr>
          <w:p>
            <w:pPr>
              <w:spacing w:before="20" w:after="20"/>
              <w:jc w:val="left"/>
            </w:pPr>
            <w:r>
              <w:t xml:space="preserve">3</w:t>
            </w:r>
          </w:p>
        </w:tc>
        <w:tc>
          <w:tcPr>
            <w:tcW w:w="5560" w:type="dxa"/>
            <w:vAlign w:val="center"/>
            <w:tcMar>
              <w:top w:w="60" w:type="dxa"/>
              <w:bottom w:w="60" w:type="dxa"/>
              <w:left w:w="90" w:type="dxa"/>
              <w:right w:w="90" w:type="dxa"/>
            </w:tcMar>
          </w:tcPr>
          <w:p>
            <w:pPr>
              <w:spacing w:before="20" w:after="20"/>
              <w:jc w:val="left"/>
            </w:pPr>
            <w:r>
              <w:t xml:space="preserve">Five consecutive scans against a 2000 ms target; slowest measured 4.4 ms</w:t>
            </w:r>
          </w:p>
        </w:tc>
      </w:tr>
      <w:tr>
        <w:tc>
          <w:tcPr>
            <w:tcW w:w="2400" w:type="dxa"/>
            <w:vAlign w:val="center"/>
            <w:tcMar>
              <w:top w:w="60" w:type="dxa"/>
              <w:bottom w:w="60" w:type="dxa"/>
              <w:left w:w="90" w:type="dxa"/>
              <w:right w:w="90" w:type="dxa"/>
            </w:tcMar>
          </w:tcPr>
          <w:p>
            <w:pPr>
              <w:spacing w:before="20" w:after="20"/>
              <w:jc w:val="left"/>
            </w:pPr>
            <w:r>
              <w:t xml:space="preserve">Retrieval optimization</w:t>
            </w:r>
          </w:p>
        </w:tc>
        <w:tc>
          <w:tcPr>
            <w:tcW w:w="1400" w:type="dxa"/>
            <w:vAlign w:val="center"/>
            <w:tcMar>
              <w:top w:w="60" w:type="dxa"/>
              <w:bottom w:w="60" w:type="dxa"/>
              <w:left w:w="90" w:type="dxa"/>
              <w:right w:w="90" w:type="dxa"/>
            </w:tcMar>
          </w:tcPr>
          <w:p>
            <w:pPr>
              <w:spacing w:before="20" w:after="20"/>
              <w:jc w:val="left"/>
            </w:pPr>
            <w:r>
              <w:t xml:space="preserve">5</w:t>
            </w:r>
          </w:p>
        </w:tc>
        <w:tc>
          <w:tcPr>
            <w:tcW w:w="5560" w:type="dxa"/>
            <w:vAlign w:val="center"/>
            <w:tcMar>
              <w:top w:w="60" w:type="dxa"/>
              <w:bottom w:w="60" w:type="dxa"/>
              <w:left w:w="90" w:type="dxa"/>
              <w:right w:w="90" w:type="dxa"/>
            </w:tcMar>
          </w:tcPr>
          <w:p>
            <w:pPr>
              <w:spacing w:before="20" w:after="20"/>
              <w:jc w:val="left"/>
            </w:pPr>
            <w:r>
              <w:t xml:space="preserve">Pagination, server-side filtering, private-only caching</w:t>
            </w:r>
          </w:p>
        </w:tc>
      </w:tr>
      <w:tr>
        <w:tc>
          <w:tcPr>
            <w:tcW w:w="2400" w:type="dxa"/>
            <w:vAlign w:val="center"/>
            <w:tcMar>
              <w:top w:w="60" w:type="dxa"/>
              <w:bottom w:w="60" w:type="dxa"/>
              <w:left w:w="90" w:type="dxa"/>
              <w:right w:w="90" w:type="dxa"/>
            </w:tcMar>
          </w:tcPr>
          <w:p>
            <w:pPr>
              <w:spacing w:before="20" w:after="20"/>
              <w:jc w:val="left"/>
            </w:pPr>
            <w:r>
              <w:t xml:space="preserve">Store directory</w:t>
            </w:r>
          </w:p>
        </w:tc>
        <w:tc>
          <w:tcPr>
            <w:tcW w:w="1400" w:type="dxa"/>
            <w:vAlign w:val="center"/>
            <w:tcMar>
              <w:top w:w="60" w:type="dxa"/>
              <w:bottom w:w="60" w:type="dxa"/>
              <w:left w:w="90" w:type="dxa"/>
              <w:right w:w="90" w:type="dxa"/>
            </w:tcMar>
          </w:tcPr>
          <w:p>
            <w:pPr>
              <w:spacing w:before="20" w:after="20"/>
              <w:jc w:val="left"/>
            </w:pPr>
            <w:r>
              <w:t xml:space="preserve">7</w:t>
            </w:r>
          </w:p>
        </w:tc>
        <w:tc>
          <w:tcPr>
            <w:tcW w:w="5560" w:type="dxa"/>
            <w:vAlign w:val="center"/>
            <w:tcMar>
              <w:top w:w="60" w:type="dxa"/>
              <w:bottom w:w="60" w:type="dxa"/>
              <w:left w:w="90" w:type="dxa"/>
              <w:right w:w="90" w:type="dxa"/>
            </w:tcMar>
          </w:tcPr>
          <w:p>
            <w:pPr>
              <w:spacing w:before="20" w:after="20"/>
              <w:jc w:val="left"/>
            </w:pPr>
            <w:r>
              <w:t xml:space="preserve">Device location, server-computed distances, radius filtering, no network data leaked</w:t>
            </w:r>
          </w:p>
        </w:tc>
      </w:tr>
      <w:tr>
        <w:tc>
          <w:tcPr>
            <w:tcW w:w="2400" w:type="dxa"/>
            <w:vAlign w:val="center"/>
            <w:tcMar>
              <w:top w:w="60" w:type="dxa"/>
              <w:bottom w:w="60" w:type="dxa"/>
              <w:left w:w="90" w:type="dxa"/>
              <w:right w:w="90" w:type="dxa"/>
            </w:tcMar>
          </w:tcPr>
          <w:p>
            <w:pPr>
              <w:spacing w:before="20" w:after="20"/>
              <w:jc w:val="left"/>
            </w:pPr>
            <w:r>
              <w:t xml:space="preserve">Admin store registry</w:t>
            </w:r>
          </w:p>
        </w:tc>
        <w:tc>
          <w:tcPr>
            <w:tcW w:w="1400" w:type="dxa"/>
            <w:vAlign w:val="center"/>
            <w:tcMar>
              <w:top w:w="60" w:type="dxa"/>
              <w:bottom w:w="60" w:type="dxa"/>
              <w:left w:w="90" w:type="dxa"/>
              <w:right w:w="90" w:type="dxa"/>
            </w:tcMar>
          </w:tcPr>
          <w:p>
            <w:pPr>
              <w:spacing w:before="20" w:after="20"/>
              <w:jc w:val="left"/>
            </w:pPr>
            <w:r>
              <w:t xml:space="preserve">10</w:t>
            </w:r>
          </w:p>
        </w:tc>
        <w:tc>
          <w:tcPr>
            <w:tcW w:w="5560" w:type="dxa"/>
            <w:vAlign w:val="center"/>
            <w:tcMar>
              <w:top w:w="60" w:type="dxa"/>
              <w:bottom w:w="60" w:type="dxa"/>
              <w:left w:w="90" w:type="dxa"/>
              <w:right w:w="90" w:type="dxa"/>
            </w:tcMar>
          </w:tcPr>
          <w:p>
            <w:pPr>
              <w:spacing w:before="20" w:after="20"/>
              <w:jc w:val="left"/>
            </w:pPr>
            <w:r>
              <w:t xml:space="preserve">Credential enforcement, runtime registration, malformed input, fail-closed behaviour</w:t>
            </w:r>
          </w:p>
        </w:tc>
      </w:tr>
      <w:tr>
        <w:tc>
          <w:tcPr>
            <w:tcW w:w="2400" w:type="dxa"/>
            <w:vAlign w:val="center"/>
            <w:tcMar>
              <w:top w:w="60" w:type="dxa"/>
              <w:bottom w:w="60" w:type="dxa"/>
              <w:left w:w="90" w:type="dxa"/>
              <w:right w:w="90" w:type="dxa"/>
            </w:tcMar>
          </w:tcPr>
          <w:p>
            <w:pPr>
              <w:spacing w:before="20" w:after="20"/>
              <w:jc w:val="left"/>
            </w:pPr>
            <w:r>
              <w:t xml:space="preserve">Admin catalogue</w:t>
            </w:r>
          </w:p>
        </w:tc>
        <w:tc>
          <w:tcPr>
            <w:tcW w:w="1400" w:type="dxa"/>
            <w:vAlign w:val="center"/>
            <w:tcMar>
              <w:top w:w="60" w:type="dxa"/>
              <w:bottom w:w="60" w:type="dxa"/>
              <w:left w:w="90" w:type="dxa"/>
              <w:right w:w="90" w:type="dxa"/>
            </w:tcMar>
          </w:tcPr>
          <w:p>
            <w:pPr>
              <w:spacing w:before="20" w:after="20"/>
              <w:jc w:val="left"/>
            </w:pPr>
            <w:r>
              <w:t xml:space="preserve">10</w:t>
            </w:r>
          </w:p>
        </w:tc>
        <w:tc>
          <w:tcPr>
            <w:tcW w:w="5560" w:type="dxa"/>
            <w:vAlign w:val="center"/>
            <w:tcMar>
              <w:top w:w="60" w:type="dxa"/>
              <w:bottom w:w="60" w:type="dxa"/>
              <w:left w:w="90" w:type="dxa"/>
              <w:right w:w="90" w:type="dxa"/>
            </w:tcMar>
          </w:tcPr>
          <w:p>
            <w:pPr>
              <w:spacing w:before="20" w:after="20"/>
              <w:jc w:val="left"/>
            </w:pPr>
            <w:r>
              <w:t xml:space="preserve">Credential enforcement, projection applied to operator-created data, withdrawal, duplicate barcodes</w:t>
            </w:r>
          </w:p>
        </w:tc>
      </w:tr>
      <w:tr>
        <w:tc>
          <w:tcPr>
            <w:tcW w:w="2400" w:type="dxa"/>
            <w:vAlign w:val="center"/>
            <w:tcMar>
              <w:top w:w="60" w:type="dxa"/>
              <w:bottom w:w="60" w:type="dxa"/>
              <w:left w:w="90" w:type="dxa"/>
              <w:right w:w="90" w:type="dxa"/>
            </w:tcMar>
          </w:tcPr>
          <w:p>
            <w:pPr>
              <w:spacing w:before="20" w:after="20"/>
              <w:jc w:val="left"/>
            </w:pPr>
            <w:r>
              <w:t xml:space="preserve">Orders and payment</w:t>
            </w:r>
          </w:p>
        </w:tc>
        <w:tc>
          <w:tcPr>
            <w:tcW w:w="1400" w:type="dxa"/>
            <w:vAlign w:val="center"/>
            <w:tcMar>
              <w:top w:w="60" w:type="dxa"/>
              <w:bottom w:w="60" w:type="dxa"/>
              <w:left w:w="90" w:type="dxa"/>
              <w:right w:w="90" w:type="dxa"/>
            </w:tcMar>
          </w:tcPr>
          <w:p>
            <w:pPr>
              <w:spacing w:before="20" w:after="20"/>
              <w:jc w:val="left"/>
            </w:pPr>
            <w:r>
              <w:t xml:space="preserve">15</w:t>
            </w:r>
          </w:p>
        </w:tc>
        <w:tc>
          <w:tcPr>
            <w:tcW w:w="5560" w:type="dxa"/>
            <w:vAlign w:val="center"/>
            <w:tcMar>
              <w:top w:w="60" w:type="dxa"/>
              <w:bottom w:w="60" w:type="dxa"/>
              <w:left w:w="90" w:type="dxa"/>
              <w:right w:w="90" w:type="dxa"/>
            </w:tcMar>
          </w:tcPr>
          <w:p>
            <w:pPr>
              <w:spacing w:before="20" w:after="20"/>
              <w:jc w:val="left"/>
            </w:pPr>
            <w:r>
              <w:t xml:space="preserve">Server-side pricing, ignored client prices, cross-store baskets, exit-token signing and forgery, payment idempotency</w:t>
            </w:r>
          </w:p>
        </w:tc>
      </w:tr>
      <w:tr>
        <w:tc>
          <w:tcPr>
            <w:tcW w:w="2400" w:type="dxa"/>
            <w:vAlign w:val="center"/>
            <w:tcMar>
              <w:top w:w="60" w:type="dxa"/>
              <w:bottom w:w="60" w:type="dxa"/>
              <w:left w:w="90" w:type="dxa"/>
              <w:right w:w="90" w:type="dxa"/>
            </w:tcMar>
          </w:tcPr>
          <w:p>
            <w:pPr>
              <w:spacing w:before="20" w:after="20"/>
              <w:jc w:val="left"/>
            </w:pPr>
            <w:r>
              <w:t xml:space="preserve">Store analytics</w:t>
            </w:r>
          </w:p>
        </w:tc>
        <w:tc>
          <w:tcPr>
            <w:tcW w:w="1400" w:type="dxa"/>
            <w:vAlign w:val="center"/>
            <w:tcMar>
              <w:top w:w="60" w:type="dxa"/>
              <w:bottom w:w="60" w:type="dxa"/>
              <w:left w:w="90" w:type="dxa"/>
              <w:right w:w="90" w:type="dxa"/>
            </w:tcMar>
          </w:tcPr>
          <w:p>
            <w:pPr>
              <w:spacing w:before="20" w:after="20"/>
              <w:jc w:val="left"/>
            </w:pPr>
            <w:r>
              <w:t xml:space="preserve">15</w:t>
            </w:r>
          </w:p>
        </w:tc>
        <w:tc>
          <w:tcPr>
            <w:tcW w:w="5560" w:type="dxa"/>
            <w:vAlign w:val="center"/>
            <w:tcMar>
              <w:top w:w="60" w:type="dxa"/>
              <w:bottom w:w="60" w:type="dxa"/>
              <w:left w:w="90" w:type="dxa"/>
              <w:right w:w="90" w:type="dxa"/>
            </w:tcMar>
          </w:tcPr>
          <w:p>
            <w:pPr>
              <w:spacing w:before="20" w:after="20"/>
              <w:jc w:val="left"/>
            </w:pPr>
            <w:r>
              <w:t xml:space="preserve">Credential enforcement, per-store isolation, revenue counted on payment rather than basket, null-versus-zero reporting</w:t>
            </w:r>
          </w:p>
        </w:tc>
      </w:tr>
    </w:tbl>
    <w:p>
      <w:pPr>
        <w:spacing w:after="0"/>
      </w:pPr>
    </w:p>
    <w:p>
      <w:pPr>
        <w:pStyle w:val="Heading1"/>
        <w:spacing w:before="360" w:after="120"/>
        <w:outlineLvl w:val="0"/>
      </w:pPr>
      <w:r>
        <w:t xml:space="preserve">8. Recommended sequence</w:t>
      </w:r>
    </w:p>
    <w:p>
      <w:pPr>
        <w:spacing w:before="0" w:after="160"/>
      </w:pPr>
      <w:r>
        <w:t xml:space="preserve">Ordered by what unblocks the most per unit of effort.</w:t>
      </w:r>
    </w:p>
    <w:p>
      <w:pPr>
        <w:numPr>
          <w:ilvl w:val="0"/>
          <w:numId w:val="1"/>
        </w:numPr>
        <w:spacing w:before="0" w:after="60"/>
      </w:pPr>
      <w:r>
        <w:rPr>
          <w:b/>
        </w:rPr>
        <w:t xml:space="preserve">Now, in parallel with everything else:</w:t>
      </w:r>
      <w:r>
        <w:t xml:space="preserve"> request the store’s static gateway IP, confirm its UPI VPA with a small test payment, and begin PSP registration. All three have external lead time and none depends on code.</w:t>
      </w:r>
    </w:p>
    <w:p>
      <w:pPr>
        <w:numPr>
          <w:ilvl w:val="0"/>
          <w:numId w:val="1"/>
        </w:numPr>
        <w:spacing w:before="0" w:after="60"/>
      </w:pPr>
      <w:r>
        <w:rPr>
          <w:b/>
        </w:rPr>
        <w:t xml:space="preserve">First engineering task:</w:t>
      </w:r>
      <w:r>
        <w:t xml:space="preserve"> move all four repositories to Postgres. This is the single highest-value change — it unblocks the pilot, and the interfaces were built so it touches nothing else.</w:t>
      </w:r>
    </w:p>
    <w:p>
      <w:pPr>
        <w:numPr>
          <w:ilvl w:val="0"/>
          <w:numId w:val="1"/>
        </w:numPr>
        <w:spacing w:before="0" w:after="60"/>
      </w:pPr>
      <w:r>
        <w:rPr>
          <w:b/>
        </w:rPr>
        <w:t xml:space="preserve">Then:</w:t>
      </w:r>
      <w:r>
        <w:t xml:space="preserve"> run the supervised no-payment pilot. This tests the riskiest assumption in the design while the worst outcome is a shopper being asked to join the Wi-Fi.</w:t>
      </w:r>
    </w:p>
    <w:p>
      <w:pPr>
        <w:numPr>
          <w:ilvl w:val="0"/>
          <w:numId w:val="1"/>
        </w:numPr>
        <w:spacing w:before="0" w:after="60"/>
      </w:pPr>
      <w:r>
        <w:rPr>
          <w:b/>
        </w:rPr>
        <w:t xml:space="preserve">Only after the pilot holds:</w:t>
      </w:r>
      <w:r>
        <w:t xml:space="preserve"> close payment confirmation and the exit gate together. Split settlement supplies the webhook that raises the confirmation level above </w:t>
      </w:r>
      <w:r>
        <w:rPr>
          <w:rFonts w:ascii="Consolas" w:hAnsi="Consolas"/>
          <w:sz w:val="18"/>
          <w:color w:val="B03060"/>
        </w:rPr>
        <w:t xml:space="preserve">customer_attested</w:t>
      </w:r>
      <w:r>
        <w:t xml:space="preserve">; a gate that reads the level is what makes the distinction mean anything at the door.</w:t>
      </w:r>
    </w:p>
    <w:p>
      <w:pPr>
        <w:numPr>
          <w:ilvl w:val="0"/>
          <w:numId w:val="1"/>
        </w:numPr>
        <w:spacing w:before="0" w:after="60"/>
      </w:pPr>
      <w:r>
        <w:rPr>
          <w:b/>
        </w:rPr>
        <w:t xml:space="preserve">Before scale:</w:t>
      </w:r>
      <w:r>
        <w:t xml:space="preserve"> real customer authentication, which restores the 5% discount by populating a verified identity the server can trust, then the five hardening items in section 5.</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rPr>
    </w:rPrDefault>
    <w:pPrDefault>
      <w:pPr>
        <w:spacing w:after="120" w:line="264" w:lineRule="auto"/>
      </w:pPr>
    </w:pPrDefault>
  </w:docDefaults>
  <w:style w:type="paragraph" w:default="1" w:styleId="Normal">
    <w:name w:val="Normal"/>
  </w:style>
  <w:style w:type="paragraph" w:styleId="Title">
    <w:name w:val="Title"/>
    <w:rPr>
      <w:b/>
      <w:sz w:val="40"/>
      <w:color w:val="1A2E4A"/>
    </w:rPr>
  </w:style>
  <w:style w:type="paragraph" w:styleId="Heading1">
    <w:name w:val="heading 1"/>
    <w:rPr>
      <w:b/>
      <w:sz w:val="28"/>
      <w:color w:val="1F4E79"/>
    </w:rPr>
  </w:style>
  <w:style w:type="paragraph" w:styleId="Heading2">
    <w:name w:val="heading 2"/>
    <w:rPr>
      <w:b/>
      <w:sz w:val="24"/>
      <w:color w:val="2E5F8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SnapUp — Outstanding Work Before Launch</dc:title>
  <dc:subject>Launch readiness and remaining work</dc:subject>
  <dcterms:created xsi:type="dcterms:W3CDTF">2026-08-03T00:00:00Z</dcterms:created>
  <dcterms:modified xsi:type="dcterms:W3CDTF">2026-08-03T00:00:00Z</dcterms:modified>
</cp:coreProperties>
</file>