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80" w:after="80"/>
        <w:jc w:val="center"/>
      </w:pPr>
      <w:r>
        <w:rPr>
          <w:rFonts w:ascii="Arial" w:cs="Arial" w:eastAsia="Arial" w:hAnsi="Arial"/>
          <w:b/>
          <w:bCs/>
          <w:i w:val="false"/>
          <w:iCs w:val="false"/>
          <w:color w:val="1A3A5C"/>
          <w:sz w:val="36"/>
          <w:szCs w:val="36"/>
        </w:rPr>
        <w:t xml:space="preserve">DIGITAL LITERACY</w:t>
      </w:r>
    </w:p>
    <w:p>
      <w:pPr>
        <w:spacing w:before="80" w:after="80"/>
        <w:jc w:val="center"/>
      </w:pPr>
      <w:r>
        <w:rPr>
          <w:rFonts w:ascii="Arial" w:cs="Arial" w:eastAsia="Arial" w:hAnsi="Arial"/>
          <w:b/>
          <w:bCs/>
          <w:i w:val="false"/>
          <w:iCs w:val="false"/>
          <w:color w:val="1A3A5C"/>
          <w:sz w:val="28"/>
          <w:szCs w:val="28"/>
        </w:rPr>
        <w:t xml:space="preserve">Project Report</w:t>
      </w:r>
    </w:p>
    <w:p>
      <w:pPr>
        <w:spacing w:before="0" w:after="80"/>
      </w:pPr>
      <w:r>
        <w:t xml:space="preserve"/>
      </w:r>
    </w:p>
    <w:p>
      <w:pPr>
        <w:spacing w:before="80" w:after="80"/>
        <w:jc w:val="center"/>
      </w:pPr>
      <w:r>
        <w:rPr>
          <w:rFonts w:ascii="Times New Roman" w:cs="Times New Roman" w:eastAsia="Times New Roman" w:hAnsi="Times New Roman"/>
          <w:b w:val="false"/>
          <w:bCs w:val="false"/>
          <w:i/>
          <w:iCs/>
          <w:color w:val="000000"/>
          <w:sz w:val="22"/>
          <w:szCs w:val="22"/>
        </w:rPr>
        <w:t xml:space="preserve">Tasks 1 through 5: Infographic, Portfolio, Platforms,</w:t>
      </w:r>
    </w:p>
    <w:p>
      <w:pPr>
        <w:spacing w:before="80" w:after="80"/>
        <w:jc w:val="center"/>
      </w:pPr>
      <w:r>
        <w:rPr>
          <w:rFonts w:ascii="Times New Roman" w:cs="Times New Roman" w:eastAsia="Times New Roman" w:hAnsi="Times New Roman"/>
          <w:b w:val="false"/>
          <w:bCs w:val="false"/>
          <w:i/>
          <w:iCs/>
          <w:color w:val="000000"/>
          <w:sz w:val="22"/>
          <w:szCs w:val="22"/>
        </w:rPr>
        <w:t xml:space="preserve">Email Etiquette, and Cybercrime Awareness</w:t>
      </w:r>
    </w:p>
    <w:p>
      <w:pPr>
        <w:spacing w:before="0" w:after="80"/>
      </w:pPr>
      <w:r>
        <w:t xml:space="preserve"/>
      </w:r>
    </w:p>
    <w:p>
      <w:pPr>
        <w:spacing w:before="0" w:after="80"/>
      </w:pPr>
      <w:r>
        <w:t xml:space="preserve"/>
      </w:r>
    </w:p>
    <w:p>
      <w:pPr>
        <w:spacing w:before="0" w:after="80"/>
      </w:pPr>
      <w:r>
        <w:t xml:space="preserve"/>
      </w:r>
    </w:p>
    <w:p>
      <w:pPr>
        <w:spacing w:before="80" w:after="80"/>
        <w:jc w:val="center"/>
      </w:pPr>
      <w:r>
        <w:rPr>
          <w:rFonts w:ascii="Times New Roman" w:cs="Times New Roman" w:eastAsia="Times New Roman" w:hAnsi="Times New Roman"/>
          <w:b/>
          <w:bCs/>
          <w:i w:val="false"/>
          <w:iCs w:val="false"/>
          <w:color w:val="000000"/>
          <w:sz w:val="24"/>
          <w:szCs w:val="24"/>
        </w:rPr>
        <w:t xml:space="preserve">Course:</w:t>
      </w:r>
    </w:p>
    <w:p>
      <w:pPr>
        <w:spacing w:before="80" w:after="80"/>
        <w:jc w:val="center"/>
      </w:pPr>
      <w:r>
        <w:rPr>
          <w:rFonts w:ascii="Times New Roman" w:cs="Times New Roman" w:eastAsia="Times New Roman" w:hAnsi="Times New Roman"/>
          <w:b w:val="false"/>
          <w:bCs w:val="false"/>
          <w:i w:val="false"/>
          <w:iCs w:val="false"/>
          <w:color w:val="000000"/>
          <w:sz w:val="24"/>
          <w:szCs w:val="24"/>
        </w:rPr>
        <w:t xml:space="preserve">Digital Literacy</w:t>
      </w:r>
    </w:p>
    <w:p>
      <w:pPr>
        <w:spacing w:before="0" w:after="80"/>
      </w:pPr>
      <w:r>
        <w:t xml:space="preserve"/>
      </w:r>
    </w:p>
    <w:p>
      <w:pPr>
        <w:spacing w:before="80" w:after="80"/>
        <w:jc w:val="center"/>
      </w:pPr>
      <w:r>
        <w:rPr>
          <w:rFonts w:ascii="Times New Roman" w:cs="Times New Roman" w:eastAsia="Times New Roman" w:hAnsi="Times New Roman"/>
          <w:b/>
          <w:bCs/>
          <w:i w:val="false"/>
          <w:iCs w:val="false"/>
          <w:color w:val="000000"/>
          <w:sz w:val="24"/>
          <w:szCs w:val="24"/>
        </w:rPr>
        <w:t xml:space="preserve">Type:</w:t>
      </w:r>
    </w:p>
    <w:p>
      <w:pPr>
        <w:spacing w:before="80" w:after="80"/>
        <w:jc w:val="center"/>
      </w:pPr>
      <w:r>
        <w:rPr>
          <w:rFonts w:ascii="Times New Roman" w:cs="Times New Roman" w:eastAsia="Times New Roman" w:hAnsi="Times New Roman"/>
          <w:b w:val="false"/>
          <w:bCs w:val="false"/>
          <w:i w:val="false"/>
          <w:iCs w:val="false"/>
          <w:color w:val="000000"/>
          <w:sz w:val="24"/>
          <w:szCs w:val="24"/>
        </w:rPr>
        <w:t xml:space="preserve">Project Report</w:t>
      </w:r>
    </w:p>
    <w:p>
      <w:pPr>
        <w:sectPr>
          <w:pgSz w:w="12240" w:h="15840" w:orient="portrait"/>
          <w:pgMar w:top="1440" w:right="1440" w:bottom="1440" w:left="1440" w:header="708" w:footer="708" w:gutter="0"/>
          <w:pgNumType/>
          <w:docGrid w:linePitch="360"/>
        </w:sectPr>
      </w:pPr>
    </w:p>
    <w:p>
      <w:pPr>
        <w:pStyle w:val="Heading1"/>
        <w:spacing w:before="360" w:after="180"/>
      </w:pPr>
      <w:r>
        <w:rPr>
          <w:rFonts w:ascii="Arial" w:cs="Arial" w:eastAsia="Arial" w:hAnsi="Arial"/>
          <w:b/>
          <w:bCs/>
          <w:color w:val="1A3A5C"/>
          <w:sz w:val="32"/>
          <w:szCs w:val="32"/>
        </w:rPr>
        <w:t xml:space="preserve">1. Introduction</w:t>
      </w:r>
    </w:p>
    <w:p>
      <w:pPr>
        <w:spacing w:line="360" w:lineRule="auto" w:before="0" w:after="200"/>
        <w:ind w:firstLine="720"/>
        <w:jc w:val="both"/>
      </w:pPr>
      <w:r>
        <w:rPr>
          <w:rFonts w:ascii="Times New Roman" w:cs="Times New Roman" w:eastAsia="Times New Roman" w:hAnsi="Times New Roman"/>
          <w:sz w:val="24"/>
          <w:szCs w:val="24"/>
        </w:rPr>
        <w:t xml:space="preserve">Digital literacy, at its core, is about more than just knowing which buttons to press. It is the ability to navigate digital tools and online environments with enough understanding to actually use them well — to communicate clearly, create things that mean something, and manage information without making avoidable mistakes. As someone studying in a world where almost everything happens on a screen, developing these skills is not optional. It is part of what being a functional, professional person looks like right now.</w:t>
      </w:r>
    </w:p>
    <w:p>
      <w:pPr>
        <w:spacing w:line="360" w:lineRule="auto" w:before="0" w:after="200"/>
        <w:ind w:firstLine="720"/>
        <w:jc w:val="both"/>
      </w:pPr>
      <w:r>
        <w:rPr>
          <w:rFonts w:ascii="Times New Roman" w:cs="Times New Roman" w:eastAsia="Times New Roman" w:hAnsi="Times New Roman"/>
          <w:sz w:val="24"/>
          <w:szCs w:val="24"/>
        </w:rPr>
        <w:t xml:space="preserve">This project worked through five distinct tasks, each one targeting a different slice of what digital literacy actually involves: designing visual content, building an online presence, using coding and data platforms, communicating professionally through email and social media, and understanding the cybercrime landscape well enough to navigate it safely. Taken together, they gave a more complete picture of digital competence than any single topic could have.</w:t>
      </w:r>
    </w:p>
    <w:p>
      <w:pPr>
        <w:spacing w:line="360" w:lineRule="auto" w:before="0" w:after="200"/>
        <w:ind w:firstLine="720"/>
        <w:jc w:val="both"/>
      </w:pPr>
      <w:r>
        <w:rPr>
          <w:rFonts w:ascii="Times New Roman" w:cs="Times New Roman" w:eastAsia="Times New Roman" w:hAnsi="Times New Roman"/>
          <w:sz w:val="24"/>
          <w:szCs w:val="24"/>
        </w:rPr>
        <w:t xml:space="preserve">This report reflects on what each task involved, what worked, what was unexpectedly difficult, and what it actually added to my understanding — not just what I did, but what I came away knowing.</w:t>
      </w:r>
    </w:p>
    <w:p>
      <w:pPr>
        <w:spacing w:before="0" w:after="80"/>
      </w:pPr>
      <w:r>
        <w:t xml:space="preserve"/>
      </w:r>
    </w:p>
    <w:p>
      <w:pPr>
        <w:pStyle w:val="Heading1"/>
        <w:spacing w:before="360" w:after="180"/>
      </w:pPr>
      <w:r>
        <w:rPr>
          <w:rFonts w:ascii="Arial" w:cs="Arial" w:eastAsia="Arial" w:hAnsi="Arial"/>
          <w:b/>
          <w:bCs/>
          <w:color w:val="1A3A5C"/>
          <w:sz w:val="32"/>
          <w:szCs w:val="32"/>
        </w:rPr>
        <w:t xml:space="preserve">2. Task 1 — Infographic Creation</w:t>
      </w:r>
    </w:p>
    <w:p>
      <w:pPr>
        <w:spacing w:line="360" w:lineRule="auto" w:before="0" w:after="200"/>
        <w:ind w:firstLine="720"/>
        <w:jc w:val="both"/>
      </w:pPr>
      <w:r>
        <w:rPr>
          <w:rFonts w:ascii="Times New Roman" w:cs="Times New Roman" w:eastAsia="Times New Roman" w:hAnsi="Times New Roman"/>
          <w:sz w:val="24"/>
          <w:szCs w:val="24"/>
        </w:rPr>
        <w:t xml:space="preserve">For this task, I used Canva to design an infographic on digital literacy, covering topics like safe internet use, email etiquette, and common digital tools. On paper, it sounds simple. In practice, it required a lot more decision-making than I expected.</w:t>
      </w:r>
    </w:p>
    <w:p>
      <w:pPr>
        <w:spacing w:line="360" w:lineRule="auto" w:before="0" w:after="200"/>
        <w:ind w:firstLine="720"/>
        <w:jc w:val="both"/>
      </w:pPr>
      <w:r>
        <w:rPr>
          <w:rFonts w:ascii="Times New Roman" w:cs="Times New Roman" w:eastAsia="Times New Roman" w:hAnsi="Times New Roman"/>
          <w:sz w:val="24"/>
          <w:szCs w:val="24"/>
        </w:rPr>
        <w:t xml:space="preserve">The hardest part was not the design itself — Canva makes the technical side fairly intuitive. The harder part was figuring out how to say a lot with very little space. An infographic that tries to include everything ends up communicating nothing, so I had to make real choices about what was most important and how to say it visually rather than in paragraphs. Choosing the right icons, keeping colors consistent, and finding a layout that felt balanced without looking rigid took a few iterations to get right.</w:t>
      </w:r>
    </w:p>
    <w:p>
      <w:pPr>
        <w:spacing w:line="360" w:lineRule="auto" w:before="0" w:after="200"/>
        <w:ind w:firstLine="720"/>
        <w:jc w:val="both"/>
      </w:pPr>
      <w:r>
        <w:rPr>
          <w:rFonts w:ascii="Times New Roman" w:cs="Times New Roman" w:eastAsia="Times New Roman" w:hAnsi="Times New Roman"/>
          <w:sz w:val="24"/>
          <w:szCs w:val="24"/>
        </w:rPr>
        <w:t xml:space="preserve">What I took away from this task is that visual communication has its own logic. It is not just a prettier version of a written explanation — it forces you to prioritize, simplify, and trust that the visual elements are doing work alongside the words. That is a different skill from writing, and one I had not really practiced before.</w:t>
      </w:r>
    </w:p>
    <w:p>
      <w:pPr>
        <w:spacing w:before="0" w:after="80"/>
      </w:pPr>
      <w:r>
        <w:t xml:space="preserve"/>
      </w:r>
    </w:p>
    <w:p>
      <w:pPr>
        <w:pStyle w:val="Heading1"/>
        <w:spacing w:before="360" w:after="180"/>
      </w:pPr>
      <w:r>
        <w:rPr>
          <w:rFonts w:ascii="Arial" w:cs="Arial" w:eastAsia="Arial" w:hAnsi="Arial"/>
          <w:b/>
          <w:bCs/>
          <w:color w:val="1A3A5C"/>
          <w:sz w:val="32"/>
          <w:szCs w:val="32"/>
        </w:rPr>
        <w:t xml:space="preserve">3. Task 2 — Digital Portfolio</w:t>
      </w:r>
    </w:p>
    <w:p>
      <w:pPr>
        <w:spacing w:line="360" w:lineRule="auto" w:before="0" w:after="200"/>
        <w:ind w:firstLine="720"/>
        <w:jc w:val="both"/>
      </w:pPr>
      <w:r>
        <w:rPr>
          <w:rFonts w:ascii="Times New Roman" w:cs="Times New Roman" w:eastAsia="Times New Roman" w:hAnsi="Times New Roman"/>
          <w:sz w:val="24"/>
          <w:szCs w:val="24"/>
        </w:rPr>
        <w:t xml:space="preserve">This task involved setting up profiles on GitHub and LinkedIn — two platforms that function very differently but both serve the same broad purpose: showing the world, or at least a relevant part of it, what you can do and who you are professionally.</w:t>
      </w:r>
    </w:p>
    <w:p>
      <w:pPr>
        <w:spacing w:line="360" w:lineRule="auto" w:before="0" w:after="200"/>
        <w:ind w:firstLine="720"/>
        <w:jc w:val="both"/>
      </w:pPr>
      <w:r>
        <w:rPr>
          <w:rFonts w:ascii="Times New Roman" w:cs="Times New Roman" w:eastAsia="Times New Roman" w:hAnsi="Times New Roman"/>
          <w:sz w:val="24"/>
          <w:szCs w:val="24"/>
        </w:rPr>
        <w:t xml:space="preserve">GitHub was used to upload and organize project files. Getting comfortable with even the basics of version control and repository structure was genuinely useful, and it made me think about documentation differently. A project that lives on GitHub without a clear README or logical structure is harder for anyone else to understand — which is also true of work in general. LinkedIn, on the other hand, required a different kind of thinking: how to present skills and experiences in a way that is accurate but also readable and relevant to people who do not know you.</w:t>
      </w:r>
    </w:p>
    <w:p>
      <w:pPr>
        <w:spacing w:line="360" w:lineRule="auto" w:before="0" w:after="200"/>
        <w:ind w:firstLine="720"/>
        <w:jc w:val="both"/>
      </w:pPr>
      <w:r>
        <w:rPr>
          <w:rFonts w:ascii="Times New Roman" w:cs="Times New Roman" w:eastAsia="Times New Roman" w:hAnsi="Times New Roman"/>
          <w:sz w:val="24"/>
          <w:szCs w:val="24"/>
        </w:rPr>
        <w:t xml:space="preserve">The thing this task made me most aware of is that a digital portfolio is not a one-time setup. It needs to be updated as your skills actually develop. Posting something once and leaving it static quickly makes the profile look abandoned or inaccurate. Keeping it current is a habit, not a task — and that is a habit worth building early.</w:t>
      </w:r>
    </w:p>
    <w:p>
      <w:pPr>
        <w:spacing w:before="0" w:after="80"/>
      </w:pPr>
      <w:r>
        <w:t xml:space="preserve"/>
      </w:r>
    </w:p>
    <w:p>
      <w:pPr>
        <w:pStyle w:val="Heading1"/>
        <w:spacing w:before="360" w:after="180"/>
      </w:pPr>
      <w:r>
        <w:rPr>
          <w:rFonts w:ascii="Arial" w:cs="Arial" w:eastAsia="Arial" w:hAnsi="Arial"/>
          <w:b/>
          <w:bCs/>
          <w:color w:val="1A3A5C"/>
          <w:sz w:val="32"/>
          <w:szCs w:val="32"/>
        </w:rPr>
        <w:t xml:space="preserve">4. Task 3 — Digital Platforms</w:t>
      </w:r>
    </w:p>
    <w:p>
      <w:pPr>
        <w:spacing w:line="360" w:lineRule="auto" w:before="0" w:after="200"/>
        <w:ind w:firstLine="720"/>
        <w:jc w:val="both"/>
      </w:pPr>
      <w:r>
        <w:rPr>
          <w:rFonts w:ascii="Times New Roman" w:cs="Times New Roman" w:eastAsia="Times New Roman" w:hAnsi="Times New Roman"/>
          <w:sz w:val="24"/>
          <w:szCs w:val="24"/>
        </w:rPr>
        <w:t xml:space="preserve">This task had two parts: solving a beginner-level problem on a coding platform, and creating a quiz using Google Forms. They seem unrelated at first, but both are really about using digital platforms for a specific purpose and understanding what they can do.</w:t>
      </w:r>
    </w:p>
    <w:p>
      <w:pPr>
        <w:spacing w:line="360" w:lineRule="auto" w:before="0" w:after="200"/>
        <w:ind w:firstLine="720"/>
        <w:jc w:val="both"/>
      </w:pPr>
      <w:r>
        <w:rPr>
          <w:rFonts w:ascii="Times New Roman" w:cs="Times New Roman" w:eastAsia="Times New Roman" w:hAnsi="Times New Roman"/>
          <w:sz w:val="24"/>
          <w:szCs w:val="24"/>
        </w:rPr>
        <w:t xml:space="preserve">The coding problem was a good reminder that logical thinking is a skill that deteriorates if you do not practice it. Even a beginner-level problem requires you to slow down, read carefully, and work through the steps systematically. There is no shortcut that the platform cannot see through. Either the logic is right or it is not.</w:t>
      </w:r>
    </w:p>
    <w:p>
      <w:pPr>
        <w:spacing w:line="360" w:lineRule="auto" w:before="0" w:after="200"/>
        <w:ind w:firstLine="720"/>
        <w:jc w:val="both"/>
      </w:pPr>
      <w:r>
        <w:rPr>
          <w:rFonts w:ascii="Times New Roman" w:cs="Times New Roman" w:eastAsia="Times New Roman" w:hAnsi="Times New Roman"/>
          <w:sz w:val="24"/>
          <w:szCs w:val="24"/>
        </w:rPr>
        <w:t xml:space="preserve">The Google Forms quiz was a different kind of exercise. Building the questions, setting response options, and then looking at the results in spreadsheet form showed how data collection works at a basic level — you design the inputs, and the platform organizes the outputs for you. Viewing response data as a spreadsheet made it easy to see patterns that would be invisible in individual answers. That connection between form design and data analysis is something I had not thought about explicitly before, and it is useful to understand.</w:t>
      </w:r>
    </w:p>
    <w:p>
      <w:pPr>
        <w:spacing w:before="0" w:after="80"/>
      </w:pPr>
      <w:r>
        <w:t xml:space="preserve"/>
      </w:r>
    </w:p>
    <w:p>
      <w:pPr>
        <w:pStyle w:val="Heading1"/>
        <w:spacing w:before="360" w:after="180"/>
      </w:pPr>
      <w:r>
        <w:rPr>
          <w:rFonts w:ascii="Arial" w:cs="Arial" w:eastAsia="Arial" w:hAnsi="Arial"/>
          <w:b/>
          <w:bCs/>
          <w:color w:val="1A3A5C"/>
          <w:sz w:val="32"/>
          <w:szCs w:val="32"/>
        </w:rPr>
        <w:t xml:space="preserve">5. Task 4 — Email Etiquette and Social Media Awareness</w:t>
      </w:r>
    </w:p>
    <w:p>
      <w:pPr>
        <w:spacing w:line="360" w:lineRule="auto" w:before="0" w:after="200"/>
        <w:ind w:firstLine="720"/>
        <w:jc w:val="both"/>
      </w:pPr>
      <w:r>
        <w:rPr>
          <w:rFonts w:ascii="Times New Roman" w:cs="Times New Roman" w:eastAsia="Times New Roman" w:hAnsi="Times New Roman"/>
          <w:sz w:val="24"/>
          <w:szCs w:val="24"/>
        </w:rPr>
        <w:t xml:space="preserve">Writing formal emails sounds like something everyone already knows how to do. In my experience, most students — including me, before this task — know the general idea but are inconsistent in the execution. This task made me write two specific emails: one requesting a deadline extension and one applying for an internship. Having to actually write them, rather than just knowing I could, was more useful than I expected.</w:t>
      </w:r>
    </w:p>
    <w:p>
      <w:pPr>
        <w:spacing w:line="360" w:lineRule="auto" w:before="0" w:after="200"/>
        <w:ind w:firstLine="720"/>
        <w:jc w:val="both"/>
      </w:pPr>
      <w:r>
        <w:rPr>
          <w:rFonts w:ascii="Times New Roman" w:cs="Times New Roman" w:eastAsia="Times New Roman" w:hAnsi="Times New Roman"/>
          <w:sz w:val="24"/>
          <w:szCs w:val="24"/>
        </w:rPr>
        <w:t xml:space="preserve">The internship email in particular required thinking carefully about tone. Too casual and it reads as unprofessional. Too stiff and it sounds like a template the recruiter has seen a hundred times. Finding the right register — clear, direct, polite, and specific — takes practice. It also requires knowing what the recipient actually needs from your message, not just what you want to say.</w:t>
      </w:r>
    </w:p>
    <w:p>
      <w:pPr>
        <w:spacing w:line="360" w:lineRule="auto" w:before="0" w:after="200"/>
        <w:ind w:firstLine="720"/>
        <w:jc w:val="both"/>
      </w:pPr>
      <w:r>
        <w:rPr>
          <w:rFonts w:ascii="Times New Roman" w:cs="Times New Roman" w:eastAsia="Times New Roman" w:hAnsi="Times New Roman"/>
          <w:sz w:val="24"/>
          <w:szCs w:val="24"/>
        </w:rPr>
        <w:t xml:space="preserve">The social media component involved putting together a checklist of responsible online behavior. Thinking through what to post and what not to post, how public profiles reflect on you professionally, and how quickly personal information can travel once it is shared made the abstract concept of digital footprint feel a lot more concrete. What you put online is not temporary even when it feels like it is.</w:t>
      </w:r>
    </w:p>
    <w:p>
      <w:pPr>
        <w:spacing w:before="0" w:after="80"/>
      </w:pPr>
      <w:r>
        <w:t xml:space="preserve"/>
      </w:r>
    </w:p>
    <w:p>
      <w:pPr>
        <w:pStyle w:val="Heading1"/>
        <w:spacing w:before="360" w:after="180"/>
      </w:pPr>
      <w:r>
        <w:rPr>
          <w:rFonts w:ascii="Arial" w:cs="Arial" w:eastAsia="Arial" w:hAnsi="Arial"/>
          <w:b/>
          <w:bCs/>
          <w:color w:val="1A3A5C"/>
          <w:sz w:val="32"/>
          <w:szCs w:val="32"/>
        </w:rPr>
        <w:t xml:space="preserve">6. Task 5 — Cybercrime Awareness</w:t>
      </w:r>
    </w:p>
    <w:p>
      <w:pPr>
        <w:spacing w:line="360" w:lineRule="auto" w:before="0" w:after="200"/>
        <w:ind w:firstLine="720"/>
        <w:jc w:val="both"/>
      </w:pPr>
      <w:r>
        <w:rPr>
          <w:rFonts w:ascii="Times New Roman" w:cs="Times New Roman" w:eastAsia="Times New Roman" w:hAnsi="Times New Roman"/>
          <w:sz w:val="24"/>
          <w:szCs w:val="24"/>
        </w:rPr>
        <w:t xml:space="preserve">This task focused on understanding cybercrime with a specific lens: UPI fraud. Studying how these scams actually work — the social engineering involved, the specific technical misunderstandings that fraudsters exploit, the speed at which transactions are completed and funds disappear — was more eye-opening than reading a general warning about staying safe online.</w:t>
      </w:r>
    </w:p>
    <w:p>
      <w:pPr>
        <w:spacing w:line="360" w:lineRule="auto" w:before="0" w:after="200"/>
        <w:ind w:firstLine="720"/>
        <w:jc w:val="both"/>
      </w:pPr>
      <w:r>
        <w:rPr>
          <w:rFonts w:ascii="Times New Roman" w:cs="Times New Roman" w:eastAsia="Times New Roman" w:hAnsi="Times New Roman"/>
          <w:sz w:val="24"/>
          <w:szCs w:val="24"/>
        </w:rPr>
        <w:t xml:space="preserve">The core mechanic of most UPI fraud is straightforward: a caller convinces a victim that they need to enter their PIN or approve a request in order to receive money. This works because many users do not know that receiving money through UPI requires no action from the recipient at all. The PIN is only needed when sending money. That one gap in understanding is the entire lever the fraud depends on.</w:t>
      </w:r>
    </w:p>
    <w:p>
      <w:pPr>
        <w:spacing w:line="360" w:lineRule="auto" w:before="0" w:after="200"/>
        <w:ind w:firstLine="720"/>
        <w:jc w:val="both"/>
      </w:pPr>
      <w:r>
        <w:rPr>
          <w:rFonts w:ascii="Times New Roman" w:cs="Times New Roman" w:eastAsia="Times New Roman" w:hAnsi="Times New Roman"/>
          <w:sz w:val="24"/>
          <w:szCs w:val="24"/>
        </w:rPr>
        <w:t xml:space="preserve">Putting together a safety checklist for this task was useful because it forced specificity. Not just do not share your OTP, but why, and what to do instead, and where to report if something goes wrong. The National Cyber Crime Reporting Portal and the 1930 helpline exist specifically for financial fraud cases, and knowing they exist is the kind of practical information that actually matters when something goes wrong. General awareness of cybercrime is useful. Knowing exactly what to do in a specific situation is better.</w:t>
      </w:r>
    </w:p>
    <w:p>
      <w:pPr>
        <w:spacing w:before="0" w:after="80"/>
      </w:pPr>
      <w:r>
        <w:t xml:space="preserve"/>
      </w:r>
    </w:p>
    <w:p>
      <w:pPr>
        <w:pStyle w:val="Heading1"/>
        <w:spacing w:before="360" w:after="180"/>
      </w:pPr>
      <w:r>
        <w:rPr>
          <w:rFonts w:ascii="Arial" w:cs="Arial" w:eastAsia="Arial" w:hAnsi="Arial"/>
          <w:b/>
          <w:bCs/>
          <w:color w:val="1A3A5C"/>
          <w:sz w:val="32"/>
          <w:szCs w:val="32"/>
        </w:rPr>
        <w:t xml:space="preserve">7. Conclusion</w:t>
      </w:r>
    </w:p>
    <w:p>
      <w:pPr>
        <w:spacing w:line="360" w:lineRule="auto" w:before="0" w:after="200"/>
        <w:ind w:firstLine="720"/>
        <w:jc w:val="both"/>
      </w:pPr>
      <w:r>
        <w:rPr>
          <w:rFonts w:ascii="Times New Roman" w:cs="Times New Roman" w:eastAsia="Times New Roman" w:hAnsi="Times New Roman"/>
          <w:sz w:val="24"/>
          <w:szCs w:val="24"/>
        </w:rPr>
        <w:t xml:space="preserve">Going through these five tasks gave me a more grounded understanding of what digital literacy actually involves than any lecture or reading could have on its own. Each task pushed on a different set of skills — design thinking, professional presentation, logical problem-solving, communication, and safety awareness — and doing them in sequence made the connections between them easier to see.</w:t>
      </w:r>
    </w:p>
    <w:p>
      <w:pPr>
        <w:spacing w:line="360" w:lineRule="auto" w:before="0" w:after="200"/>
        <w:ind w:firstLine="720"/>
        <w:jc w:val="both"/>
      </w:pPr>
      <w:r>
        <w:rPr>
          <w:rFonts w:ascii="Times New Roman" w:cs="Times New Roman" w:eastAsia="Times New Roman" w:hAnsi="Times New Roman"/>
          <w:sz w:val="24"/>
          <w:szCs w:val="24"/>
        </w:rPr>
        <w:t xml:space="preserve">The broader pattern I noticed is that digital competence is almost never about knowing which platform to open. It is about understanding what the platform is actually doing and making deliberate choices within it. Whether that is choosing what to post publicly, reading a UPI request before approving it, or writing an email that gets taken seriously — the underlying skill is the same: knowing enough to act thoughtfully instead of reflexively.</w:t>
      </w:r>
    </w:p>
    <w:p>
      <w:pPr>
        <w:spacing w:line="360" w:lineRule="auto" w:before="0" w:after="200"/>
        <w:ind w:firstLine="720"/>
        <w:jc w:val="both"/>
      </w:pPr>
      <w:r>
        <w:rPr>
          <w:rFonts w:ascii="Times New Roman" w:cs="Times New Roman" w:eastAsia="Times New Roman" w:hAnsi="Times New Roman"/>
          <w:sz w:val="24"/>
          <w:szCs w:val="24"/>
        </w:rPr>
        <w:t xml:space="preserve">These are skills I will keep using and, hopefully, keep building on. Digital tools are not going anywhere, and the gap between someone who uses them and someone who uses them well is worth closing deliberately rather than assuming it closes on its own.</w:t>
      </w:r>
    </w:p>
    <w:p>
      <w:pPr>
        <w:spacing w:before="0" w:after="80"/>
      </w:pPr>
      <w:r>
        <w:t xml:space="preserve"/>
      </w:r>
    </w:p>
    <w:p>
      <w:pPr>
        <w:pStyle w:val="Heading1"/>
        <w:spacing w:before="360" w:after="180"/>
      </w:pPr>
      <w:r>
        <w:rPr>
          <w:rFonts w:ascii="Arial" w:cs="Arial" w:eastAsia="Arial" w:hAnsi="Arial"/>
          <w:b/>
          <w:bCs/>
          <w:color w:val="1A3A5C"/>
          <w:sz w:val="32"/>
          <w:szCs w:val="32"/>
        </w:rPr>
        <w:t xml:space="preserve">8. References</w:t>
      </w:r>
    </w:p>
    <w:p>
      <w:pPr>
        <w:pStyle w:val="ListParagraph"/>
        <w:numPr>
          <w:ilvl w:val="0"/>
          <w:numId w:val="2"/>
        </w:numPr>
        <w:spacing w:before="80" w:after="80"/>
      </w:pPr>
      <w:r>
        <w:rPr>
          <w:rFonts w:ascii="Times New Roman" w:cs="Times New Roman" w:eastAsia="Times New Roman" w:hAnsi="Times New Roman"/>
          <w:sz w:val="24"/>
          <w:szCs w:val="24"/>
        </w:rPr>
        <w:t xml:space="preserve">Canva — used for infographic design (www.canva.com)</w:t>
      </w:r>
    </w:p>
    <w:p>
      <w:pPr>
        <w:pStyle w:val="ListParagraph"/>
        <w:numPr>
          <w:ilvl w:val="0"/>
          <w:numId w:val="2"/>
        </w:numPr>
        <w:spacing w:before="80" w:after="80"/>
      </w:pPr>
      <w:r>
        <w:rPr>
          <w:rFonts w:ascii="Times New Roman" w:cs="Times New Roman" w:eastAsia="Times New Roman" w:hAnsi="Times New Roman"/>
          <w:sz w:val="24"/>
          <w:szCs w:val="24"/>
        </w:rPr>
        <w:t xml:space="preserve">Google Forms — used for quiz creation and response analysis (forms.google.com)</w:t>
      </w:r>
    </w:p>
    <w:p>
      <w:pPr>
        <w:pStyle w:val="ListParagraph"/>
        <w:numPr>
          <w:ilvl w:val="0"/>
          <w:numId w:val="2"/>
        </w:numPr>
        <w:spacing w:before="80" w:after="80"/>
      </w:pPr>
      <w:r>
        <w:rPr>
          <w:rFonts w:ascii="Times New Roman" w:cs="Times New Roman" w:eastAsia="Times New Roman" w:hAnsi="Times New Roman"/>
          <w:sz w:val="24"/>
          <w:szCs w:val="24"/>
        </w:rPr>
        <w:t xml:space="preserve">GitHub — used for project file management and portfolio (www.github.com)</w:t>
      </w:r>
    </w:p>
    <w:p>
      <w:pPr>
        <w:pStyle w:val="ListParagraph"/>
        <w:numPr>
          <w:ilvl w:val="0"/>
          <w:numId w:val="2"/>
        </w:numPr>
        <w:spacing w:before="80" w:after="80"/>
      </w:pPr>
      <w:r>
        <w:rPr>
          <w:rFonts w:ascii="Times New Roman" w:cs="Times New Roman" w:eastAsia="Times New Roman" w:hAnsi="Times New Roman"/>
          <w:sz w:val="24"/>
          <w:szCs w:val="24"/>
        </w:rPr>
        <w:t xml:space="preserve">LinkedIn — used for professional profile and networking (www.linkedin.com)</w:t>
      </w:r>
    </w:p>
    <w:p>
      <w:pPr>
        <w:pStyle w:val="ListParagraph"/>
        <w:numPr>
          <w:ilvl w:val="0"/>
          <w:numId w:val="2"/>
        </w:numPr>
        <w:spacing w:before="80" w:after="80"/>
      </w:pPr>
      <w:r>
        <w:rPr>
          <w:rFonts w:ascii="Times New Roman" w:cs="Times New Roman" w:eastAsia="Times New Roman" w:hAnsi="Times New Roman"/>
          <w:sz w:val="24"/>
          <w:szCs w:val="24"/>
        </w:rPr>
        <w:t xml:space="preserve">National Cyber Crime Reporting Portal — cybercrime awareness and fraud reporting (https://cybercrime.gov.in)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5C" w:sz="6" w:space="1"/>
      </w:pBdr>
      <w:spacing w:before="12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6" w:space="1"/>
      </w:pBdr>
      <w:spacing w:after="120"/>
      <w:jc w:val="right"/>
    </w:pPr>
    <w:r>
      <w:rPr>
        <w:rFonts w:ascii="Arial" w:cs="Arial" w:eastAsia="Arial" w:hAnsi="Arial"/>
        <w:color w:val="555555"/>
        <w:sz w:val="18"/>
        <w:szCs w:val="18"/>
      </w:rPr>
      <w:t xml:space="preserve">Digital Literacy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3A5C"/>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2026-03-29T16:14:46.669Z</dcterms:created>
  <dcterms:modified xsi:type="dcterms:W3CDTF">2026-03-29T16:14:46.669Z</dcterms:modified>
</cp:coreProperties>
</file>

<file path=docProps/custom.xml><?xml version="1.0" encoding="utf-8"?>
<Properties xmlns="http://schemas.openxmlformats.org/officeDocument/2006/custom-properties" xmlns:vt="http://schemas.openxmlformats.org/officeDocument/2006/docPropsVTypes"/>
</file>